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221" w:type="dxa"/>
        <w:tblLayout w:type="fixed"/>
        <w:tblCellMar>
          <w:left w:w="113" w:type="dxa"/>
        </w:tblCellMar>
        <w:tblLook w:val="0000" w:firstRow="0" w:lastRow="0" w:firstColumn="0" w:lastColumn="0" w:noHBand="0" w:noVBand="0"/>
      </w:tblPr>
      <w:tblGrid>
        <w:gridCol w:w="6666"/>
        <w:gridCol w:w="3054"/>
      </w:tblGrid>
      <w:tr w:rsidR="001B2683" w14:paraId="017C0A28" w14:textId="77777777">
        <w:trPr>
          <w:cantSplit/>
        </w:trPr>
        <w:tc>
          <w:tcPr>
            <w:tcW w:w="9719" w:type="dxa"/>
            <w:gridSpan w:val="2"/>
            <w:shd w:val="clear" w:color="auto" w:fill="auto"/>
          </w:tcPr>
          <w:p w14:paraId="79886AF4" w14:textId="77777777" w:rsidR="001B2683" w:rsidRDefault="00EA66D1">
            <w:pPr>
              <w:widowControl w:val="0"/>
              <w:jc w:val="center"/>
              <w:rPr>
                <w:b/>
                <w:bCs/>
                <w:sz w:val="28"/>
                <w:szCs w:val="28"/>
              </w:rPr>
            </w:pPr>
            <w:r>
              <w:rPr>
                <w:b/>
                <w:bCs/>
                <w:sz w:val="28"/>
                <w:szCs w:val="28"/>
              </w:rPr>
              <w:t>SKUODO RAJONO SAVIVALDYBĖS TARYBA</w:t>
            </w:r>
          </w:p>
        </w:tc>
      </w:tr>
      <w:tr w:rsidR="001B2683" w14:paraId="59647B59" w14:textId="77777777">
        <w:trPr>
          <w:cantSplit/>
        </w:trPr>
        <w:tc>
          <w:tcPr>
            <w:tcW w:w="6665" w:type="dxa"/>
            <w:shd w:val="clear" w:color="auto" w:fill="auto"/>
          </w:tcPr>
          <w:p w14:paraId="0E9E4938" w14:textId="77777777" w:rsidR="001B2683" w:rsidRDefault="001B2683">
            <w:pPr>
              <w:widowControl w:val="0"/>
              <w:rPr>
                <w:color w:val="000000"/>
                <w:sz w:val="20"/>
              </w:rPr>
            </w:pPr>
          </w:p>
          <w:p w14:paraId="696BB505" w14:textId="77777777" w:rsidR="001B2683" w:rsidRDefault="001B2683">
            <w:pPr>
              <w:widowControl w:val="0"/>
              <w:rPr>
                <w:color w:val="000000"/>
                <w:sz w:val="20"/>
              </w:rPr>
            </w:pPr>
          </w:p>
        </w:tc>
        <w:tc>
          <w:tcPr>
            <w:tcW w:w="3054" w:type="dxa"/>
            <w:shd w:val="clear" w:color="auto" w:fill="auto"/>
          </w:tcPr>
          <w:p w14:paraId="640C77B0" w14:textId="1AFBA1D5" w:rsidR="001B2683" w:rsidRDefault="00624E86" w:rsidP="00234373">
            <w:pPr>
              <w:widowControl w:val="0"/>
              <w:jc w:val="right"/>
              <w:rPr>
                <w:color w:val="000000"/>
                <w:sz w:val="20"/>
              </w:rPr>
            </w:pPr>
            <w:r>
              <w:rPr>
                <w:color w:val="000000"/>
                <w:sz w:val="20"/>
              </w:rPr>
              <w:t>Teikti tarybai</w:t>
            </w:r>
          </w:p>
          <w:p w14:paraId="68C18348" w14:textId="576D4D61" w:rsidR="00624E86" w:rsidRDefault="00624E86" w:rsidP="00234373">
            <w:pPr>
              <w:widowControl w:val="0"/>
              <w:jc w:val="right"/>
              <w:rPr>
                <w:color w:val="000000"/>
                <w:sz w:val="20"/>
              </w:rPr>
            </w:pPr>
            <w:r>
              <w:rPr>
                <w:color w:val="000000"/>
                <w:sz w:val="20"/>
              </w:rPr>
              <w:t>Petras Pušinskas</w:t>
            </w:r>
          </w:p>
          <w:p w14:paraId="4D588EA0" w14:textId="77777777" w:rsidR="001B2683" w:rsidRDefault="001B2683">
            <w:pPr>
              <w:widowControl w:val="0"/>
              <w:rPr>
                <w:color w:val="000000"/>
                <w:sz w:val="20"/>
                <w:szCs w:val="20"/>
              </w:rPr>
            </w:pPr>
          </w:p>
        </w:tc>
      </w:tr>
      <w:tr w:rsidR="001B2683" w14:paraId="6FA9F48A" w14:textId="77777777">
        <w:trPr>
          <w:cantSplit/>
        </w:trPr>
        <w:tc>
          <w:tcPr>
            <w:tcW w:w="9719" w:type="dxa"/>
            <w:gridSpan w:val="2"/>
            <w:shd w:val="clear" w:color="auto" w:fill="auto"/>
          </w:tcPr>
          <w:p w14:paraId="7EDCDC65" w14:textId="77777777" w:rsidR="001B2683" w:rsidRDefault="00EA66D1">
            <w:pPr>
              <w:widowControl w:val="0"/>
              <w:jc w:val="center"/>
              <w:rPr>
                <w:b/>
                <w:bCs/>
                <w:color w:val="000000"/>
              </w:rPr>
            </w:pPr>
            <w:r>
              <w:rPr>
                <w:b/>
                <w:bCs/>
                <w:color w:val="000000"/>
              </w:rPr>
              <w:t>SPRENDIMAS</w:t>
            </w:r>
          </w:p>
          <w:p w14:paraId="7A001170" w14:textId="77777777" w:rsidR="001B2683" w:rsidRDefault="00EA66D1">
            <w:pPr>
              <w:widowControl w:val="0"/>
              <w:jc w:val="center"/>
              <w:rPr>
                <w:b/>
                <w:bCs/>
                <w:color w:val="000000"/>
              </w:rPr>
            </w:pPr>
            <w:r>
              <w:rPr>
                <w:b/>
              </w:rPr>
              <w:t>DĖL UŽDAROSIOS AKCINĖS BENDROVĖS „SKUODO VANDENYS“ APSKAITOS PRIETAISŲ PRIEŽIŪROS MOKESČIO NUSTATYMO</w:t>
            </w:r>
          </w:p>
        </w:tc>
      </w:tr>
      <w:tr w:rsidR="001B2683" w14:paraId="24FB5ECE" w14:textId="77777777">
        <w:trPr>
          <w:cantSplit/>
        </w:trPr>
        <w:tc>
          <w:tcPr>
            <w:tcW w:w="9719" w:type="dxa"/>
            <w:gridSpan w:val="2"/>
            <w:shd w:val="clear" w:color="auto" w:fill="auto"/>
          </w:tcPr>
          <w:p w14:paraId="66173FE7" w14:textId="77777777" w:rsidR="001B2683" w:rsidRDefault="001B2683">
            <w:pPr>
              <w:widowControl w:val="0"/>
              <w:rPr>
                <w:b/>
                <w:bCs/>
                <w:color w:val="000000"/>
              </w:rPr>
            </w:pPr>
          </w:p>
        </w:tc>
      </w:tr>
      <w:tr w:rsidR="001B2683" w14:paraId="34C85F4A" w14:textId="77777777">
        <w:trPr>
          <w:cantSplit/>
        </w:trPr>
        <w:tc>
          <w:tcPr>
            <w:tcW w:w="9719" w:type="dxa"/>
            <w:gridSpan w:val="2"/>
            <w:shd w:val="clear" w:color="auto" w:fill="auto"/>
          </w:tcPr>
          <w:p w14:paraId="5A70CF2A" w14:textId="00B2BC1D" w:rsidR="001B2683" w:rsidRDefault="00EA66D1" w:rsidP="00AE4F3A">
            <w:pPr>
              <w:widowControl w:val="0"/>
              <w:jc w:val="center"/>
              <w:rPr>
                <w:color w:val="000000"/>
              </w:rPr>
            </w:pPr>
            <w:r>
              <w:t>202</w:t>
            </w:r>
            <w:r w:rsidR="00AE4F3A">
              <w:t>1 m. gruodžio</w:t>
            </w:r>
            <w:r w:rsidR="00F211A1">
              <w:t xml:space="preserve"> 15 </w:t>
            </w:r>
            <w:r>
              <w:t xml:space="preserve">d. </w:t>
            </w:r>
            <w:r>
              <w:rPr>
                <w:color w:val="000000"/>
              </w:rPr>
              <w:t>Nr. T9-</w:t>
            </w:r>
            <w:r w:rsidR="00F211A1">
              <w:rPr>
                <w:color w:val="000000"/>
              </w:rPr>
              <w:t>205</w:t>
            </w:r>
            <w:r w:rsidR="00AE4F3A">
              <w:rPr>
                <w:color w:val="000000"/>
              </w:rPr>
              <w:t>/T10-</w:t>
            </w:r>
          </w:p>
        </w:tc>
      </w:tr>
      <w:tr w:rsidR="001B2683" w14:paraId="423AE302" w14:textId="77777777">
        <w:trPr>
          <w:cantSplit/>
        </w:trPr>
        <w:tc>
          <w:tcPr>
            <w:tcW w:w="9719" w:type="dxa"/>
            <w:gridSpan w:val="2"/>
            <w:shd w:val="clear" w:color="auto" w:fill="auto"/>
          </w:tcPr>
          <w:p w14:paraId="05FC7C58" w14:textId="77777777" w:rsidR="001B2683" w:rsidRDefault="00EA66D1">
            <w:pPr>
              <w:widowControl w:val="0"/>
              <w:jc w:val="center"/>
              <w:rPr>
                <w:color w:val="000000"/>
              </w:rPr>
            </w:pPr>
            <w:r>
              <w:rPr>
                <w:color w:val="000000"/>
              </w:rPr>
              <w:t>Skuodas</w:t>
            </w:r>
          </w:p>
        </w:tc>
      </w:tr>
    </w:tbl>
    <w:p w14:paraId="68238F8D" w14:textId="77777777" w:rsidR="001B2683" w:rsidRDefault="00EA66D1">
      <w:pPr>
        <w:tabs>
          <w:tab w:val="left" w:pos="1272"/>
        </w:tabs>
        <w:jc w:val="both"/>
      </w:pPr>
      <w:r>
        <w:tab/>
      </w:r>
    </w:p>
    <w:p w14:paraId="37470D88" w14:textId="77777777" w:rsidR="001B2683" w:rsidRDefault="00EA66D1">
      <w:pPr>
        <w:tabs>
          <w:tab w:val="left" w:pos="1248"/>
          <w:tab w:val="left" w:pos="1272"/>
        </w:tabs>
        <w:jc w:val="both"/>
      </w:pPr>
      <w:r>
        <w:tab/>
        <w:t xml:space="preserve">Vadovaudamasi Lietuvos Respublikos vietos savivaldos įstatymo 16 straipsnio 2 dalies 37 punktu, </w:t>
      </w:r>
      <w:r w:rsidR="002A78FF">
        <w:t xml:space="preserve">18 straipsnio 1 dalimi, </w:t>
      </w:r>
      <w:r>
        <w:t>Valstybinės energetikos reguliavimo tarybos 2019 m. balandžio 1 d. nutarimu Nr. O3E-91 „</w:t>
      </w:r>
      <w:r>
        <w:rPr>
          <w:bCs/>
          <w:color w:val="000000"/>
        </w:rPr>
        <w:t>Dėl Geriamojo vandens apskaitos prietaisų įsigijimo, įrengimo ir eksploatavimo užmokesčio apskaičiavimo metodikos patvirtinimo“</w:t>
      </w:r>
      <w:r>
        <w:rPr>
          <w:b/>
          <w:bCs/>
          <w:color w:val="000000"/>
        </w:rPr>
        <w:t xml:space="preserve"> </w:t>
      </w:r>
      <w:r>
        <w:t xml:space="preserve">patvirtintos Geriamojo vandens </w:t>
      </w:r>
      <w:r>
        <w:rPr>
          <w:bCs/>
          <w:color w:val="000000"/>
        </w:rPr>
        <w:t>apskaitos prietaisų įsigijimo, įrengimo ir eksploatavimo užmokesčio apskaičiavimo metodikos</w:t>
      </w:r>
      <w:r>
        <w:t xml:space="preserve"> 12</w:t>
      </w:r>
      <w:r w:rsidR="002A78FF">
        <w:t xml:space="preserve"> ir 14</w:t>
      </w:r>
      <w:r w:rsidR="001E37B8">
        <w:t xml:space="preserve"> punktais</w:t>
      </w:r>
      <w:r>
        <w:t xml:space="preserve"> ir atsižvelgdama į uždarosios akcinės bendrovės „Skuodo vandenys“ </w:t>
      </w:r>
      <w:r w:rsidR="001E37B8">
        <w:t>2021 m. gruodžio 7 d. raštą Nr. VR1-409</w:t>
      </w:r>
      <w:r w:rsidR="001D3286">
        <w:t xml:space="preserve"> „Dėl ap</w:t>
      </w:r>
      <w:r w:rsidR="001E37B8">
        <w:t>skaitos prietaisų priežiūros mokesčio nustatymo</w:t>
      </w:r>
      <w:r w:rsidR="001D3286">
        <w:t>“</w:t>
      </w:r>
      <w:r>
        <w:t>, Skuodo rajono savivaldybės taryba n u s p r e n d ž i a:</w:t>
      </w:r>
    </w:p>
    <w:p w14:paraId="3BDEF72B" w14:textId="77777777" w:rsidR="001B2683" w:rsidRDefault="00EA66D1">
      <w:pPr>
        <w:tabs>
          <w:tab w:val="left" w:pos="1260"/>
        </w:tabs>
        <w:jc w:val="both"/>
      </w:pPr>
      <w:r>
        <w:tab/>
        <w:t>1. Nustatyti apskaitos prietaisų priežiūros mokestį (be pridėtinės vertės mokesčio):</w:t>
      </w:r>
    </w:p>
    <w:p w14:paraId="73BD0183" w14:textId="77777777" w:rsidR="001B2683" w:rsidRDefault="00EA66D1">
      <w:pPr>
        <w:tabs>
          <w:tab w:val="left" w:pos="1260"/>
        </w:tabs>
        <w:jc w:val="both"/>
      </w:pPr>
      <w:r>
        <w:tab/>
        <w:t>1.1. Vartotojams (gyventojams), perkantiems geriamojo vandens tiekimo ir nuotekų tvarkymo paslaugas:</w:t>
      </w:r>
    </w:p>
    <w:p w14:paraId="34EFF713" w14:textId="72207038" w:rsidR="001B2683" w:rsidRDefault="00EA66D1">
      <w:pPr>
        <w:tabs>
          <w:tab w:val="left" w:pos="1260"/>
        </w:tabs>
        <w:jc w:val="both"/>
      </w:pPr>
      <w:r>
        <w:tab/>
        <w:t xml:space="preserve">1.1.1. kai įrengtas atsiskaitomasis apskaitos prietaisas – </w:t>
      </w:r>
      <w:r w:rsidRPr="001D3286">
        <w:rPr>
          <w:strike/>
        </w:rPr>
        <w:t>0,67</w:t>
      </w:r>
      <w:r>
        <w:t xml:space="preserve"> </w:t>
      </w:r>
      <w:r w:rsidR="001D3286" w:rsidRPr="001D3286">
        <w:rPr>
          <w:b/>
        </w:rPr>
        <w:t>0,76</w:t>
      </w:r>
      <w:r w:rsidR="001D3286">
        <w:t xml:space="preserve"> </w:t>
      </w:r>
      <w:r>
        <w:t>Eur apskaitos prietaisui per mėnesį;</w:t>
      </w:r>
    </w:p>
    <w:p w14:paraId="74E670BC" w14:textId="15419B8B" w:rsidR="001B2683" w:rsidRDefault="00EA66D1">
      <w:pPr>
        <w:tabs>
          <w:tab w:val="left" w:pos="1260"/>
        </w:tabs>
        <w:jc w:val="both"/>
      </w:pPr>
      <w:r>
        <w:tab/>
        <w:t xml:space="preserve">1.1.2. kai dėl techninių ar kitų priežasčių nėra galimybės įrengti atsiskaitomojo apskaitos prietaiso – </w:t>
      </w:r>
      <w:r w:rsidRPr="001D3286">
        <w:rPr>
          <w:strike/>
        </w:rPr>
        <w:t>0,53</w:t>
      </w:r>
      <w:r w:rsidR="001D3286">
        <w:t xml:space="preserve"> </w:t>
      </w:r>
      <w:r w:rsidR="001D3286" w:rsidRPr="001D3286">
        <w:rPr>
          <w:b/>
        </w:rPr>
        <w:t>0,61</w:t>
      </w:r>
      <w:r>
        <w:t xml:space="preserve"> Eur </w:t>
      </w:r>
      <w:r w:rsidR="00A8103F">
        <w:t>b</w:t>
      </w:r>
      <w:r>
        <w:t xml:space="preserve">utui / namui per mėnesį. </w:t>
      </w:r>
    </w:p>
    <w:p w14:paraId="477FDE86" w14:textId="77777777" w:rsidR="001B2683" w:rsidRDefault="00EA66D1">
      <w:pPr>
        <w:tabs>
          <w:tab w:val="left" w:pos="1260"/>
        </w:tabs>
        <w:jc w:val="both"/>
      </w:pPr>
      <w:r>
        <w:tab/>
        <w:t>1.2. Abonentams (įmonės, organizacijos), perkantiems geriamojo vandens tiekimo ir nuotekų tvarkymo paslaugas:</w:t>
      </w:r>
    </w:p>
    <w:p w14:paraId="0F8888D5" w14:textId="77777777" w:rsidR="001B2683" w:rsidRDefault="00EA66D1">
      <w:pPr>
        <w:tabs>
          <w:tab w:val="left" w:pos="1260"/>
        </w:tabs>
        <w:jc w:val="both"/>
      </w:pPr>
      <w:r>
        <w:tab/>
        <w:t xml:space="preserve">1.2.1. diametras 15 mm – </w:t>
      </w:r>
      <w:r w:rsidRPr="001D3286">
        <w:rPr>
          <w:strike/>
        </w:rPr>
        <w:t>1,00</w:t>
      </w:r>
      <w:r>
        <w:t xml:space="preserve"> </w:t>
      </w:r>
      <w:r w:rsidR="001D3286" w:rsidRPr="001D3286">
        <w:rPr>
          <w:b/>
        </w:rPr>
        <w:t>1,41</w:t>
      </w:r>
      <w:r w:rsidR="001D3286">
        <w:t xml:space="preserve"> </w:t>
      </w:r>
      <w:r>
        <w:t>Eur apskaitos prietaisui per mėnesį;</w:t>
      </w:r>
    </w:p>
    <w:p w14:paraId="03F6182B" w14:textId="77777777" w:rsidR="001B2683" w:rsidRDefault="00EA66D1">
      <w:pPr>
        <w:tabs>
          <w:tab w:val="left" w:pos="1260"/>
        </w:tabs>
        <w:jc w:val="both"/>
      </w:pPr>
      <w:r>
        <w:tab/>
        <w:t xml:space="preserve">1.2.2. diametras 20 mm – </w:t>
      </w:r>
      <w:r w:rsidRPr="001D3286">
        <w:rPr>
          <w:strike/>
        </w:rPr>
        <w:t>0,87</w:t>
      </w:r>
      <w:r w:rsidR="001D3286">
        <w:t xml:space="preserve"> </w:t>
      </w:r>
      <w:r w:rsidR="001D3286" w:rsidRPr="001D3286">
        <w:rPr>
          <w:b/>
        </w:rPr>
        <w:t>1,47</w:t>
      </w:r>
      <w:r w:rsidRPr="001D3286">
        <w:rPr>
          <w:b/>
        </w:rPr>
        <w:t xml:space="preserve"> </w:t>
      </w:r>
      <w:r>
        <w:t>Eur apskaitos prietaisui per mėnesį;</w:t>
      </w:r>
    </w:p>
    <w:p w14:paraId="1309D35C" w14:textId="77777777" w:rsidR="001B2683" w:rsidRDefault="00EA66D1">
      <w:pPr>
        <w:tabs>
          <w:tab w:val="left" w:pos="1260"/>
        </w:tabs>
        <w:jc w:val="both"/>
      </w:pPr>
      <w:r>
        <w:tab/>
        <w:t xml:space="preserve">1.2.3. diametras 25 mm – </w:t>
      </w:r>
      <w:r w:rsidRPr="001D3286">
        <w:rPr>
          <w:strike/>
        </w:rPr>
        <w:t>3,06</w:t>
      </w:r>
      <w:r>
        <w:t xml:space="preserve"> </w:t>
      </w:r>
      <w:r w:rsidR="001D3286" w:rsidRPr="001D3286">
        <w:rPr>
          <w:b/>
        </w:rPr>
        <w:t>4,27</w:t>
      </w:r>
      <w:r w:rsidR="001D3286">
        <w:t xml:space="preserve"> </w:t>
      </w:r>
      <w:r>
        <w:t>Eur apskaitos prietaisui per mėnesį;</w:t>
      </w:r>
    </w:p>
    <w:p w14:paraId="7AFE2A90" w14:textId="77777777" w:rsidR="001B2683" w:rsidRDefault="00EA66D1">
      <w:pPr>
        <w:tabs>
          <w:tab w:val="left" w:pos="1260"/>
        </w:tabs>
        <w:jc w:val="both"/>
      </w:pPr>
      <w:r>
        <w:tab/>
        <w:t xml:space="preserve">1.2.4. diametras 32 mm – </w:t>
      </w:r>
      <w:r w:rsidRPr="00BE343C">
        <w:rPr>
          <w:strike/>
        </w:rPr>
        <w:t>3,33</w:t>
      </w:r>
      <w:r w:rsidR="001D3286">
        <w:t xml:space="preserve"> </w:t>
      </w:r>
      <w:r w:rsidR="001D3286" w:rsidRPr="001D3286">
        <w:rPr>
          <w:b/>
        </w:rPr>
        <w:t>5,14</w:t>
      </w:r>
      <w:r>
        <w:t xml:space="preserve"> Eur apskaitos prietaisui per mėnesį;</w:t>
      </w:r>
    </w:p>
    <w:p w14:paraId="03B3D4B8" w14:textId="77777777" w:rsidR="001B2683" w:rsidRDefault="00EA66D1">
      <w:pPr>
        <w:tabs>
          <w:tab w:val="left" w:pos="1260"/>
        </w:tabs>
        <w:jc w:val="both"/>
      </w:pPr>
      <w:r>
        <w:tab/>
        <w:t xml:space="preserve">1.2.5. diametras 40 mm – </w:t>
      </w:r>
      <w:r w:rsidRPr="00BE343C">
        <w:rPr>
          <w:strike/>
        </w:rPr>
        <w:t>5,36</w:t>
      </w:r>
      <w:r>
        <w:t xml:space="preserve"> </w:t>
      </w:r>
      <w:r w:rsidR="001D3286" w:rsidRPr="00BE343C">
        <w:rPr>
          <w:b/>
        </w:rPr>
        <w:t>9,17</w:t>
      </w:r>
      <w:r w:rsidR="001D3286">
        <w:t xml:space="preserve"> </w:t>
      </w:r>
      <w:r>
        <w:t>Eur apskaitos prietaisui per mėnesį;</w:t>
      </w:r>
    </w:p>
    <w:p w14:paraId="24F45ACE" w14:textId="384CFE3F" w:rsidR="001B2683" w:rsidRDefault="00EA66D1" w:rsidP="00DB05C7">
      <w:pPr>
        <w:tabs>
          <w:tab w:val="left" w:pos="1260"/>
          <w:tab w:val="left" w:pos="6237"/>
        </w:tabs>
        <w:jc w:val="both"/>
      </w:pPr>
      <w:r>
        <w:tab/>
        <w:t xml:space="preserve">1.2.6. diametras 50 mm – </w:t>
      </w:r>
      <w:r w:rsidRPr="00BE343C">
        <w:rPr>
          <w:strike/>
        </w:rPr>
        <w:t>13,40</w:t>
      </w:r>
      <w:r w:rsidR="00BE343C">
        <w:t xml:space="preserve"> </w:t>
      </w:r>
      <w:r w:rsidR="00BE343C" w:rsidRPr="00BE343C">
        <w:rPr>
          <w:b/>
        </w:rPr>
        <w:t>14,98</w:t>
      </w:r>
      <w:r>
        <w:t xml:space="preserve"> Eur apskaitos prietaisui per mėnes</w:t>
      </w:r>
      <w:r w:rsidR="00A8103F">
        <w:t>į;</w:t>
      </w:r>
    </w:p>
    <w:p w14:paraId="4D4C6102" w14:textId="77777777" w:rsidR="001B2683" w:rsidRDefault="00EA66D1">
      <w:pPr>
        <w:tabs>
          <w:tab w:val="left" w:pos="1260"/>
        </w:tabs>
        <w:jc w:val="both"/>
      </w:pPr>
      <w:r>
        <w:tab/>
        <w:t xml:space="preserve">1.2.7. diametras 100 mm – </w:t>
      </w:r>
      <w:r w:rsidRPr="00BE343C">
        <w:rPr>
          <w:strike/>
        </w:rPr>
        <w:t>17,09</w:t>
      </w:r>
      <w:r>
        <w:t xml:space="preserve"> </w:t>
      </w:r>
      <w:r w:rsidR="00BE343C" w:rsidRPr="00BE343C">
        <w:rPr>
          <w:b/>
        </w:rPr>
        <w:t>19,10</w:t>
      </w:r>
      <w:r w:rsidR="00BE343C">
        <w:t xml:space="preserve"> </w:t>
      </w:r>
      <w:r>
        <w:t>Eur apskaitos prietaisui per mėnesį.</w:t>
      </w:r>
    </w:p>
    <w:p w14:paraId="06327135" w14:textId="77777777" w:rsidR="001B2683" w:rsidRDefault="00EA66D1">
      <w:pPr>
        <w:tabs>
          <w:tab w:val="left" w:pos="1260"/>
        </w:tabs>
        <w:jc w:val="both"/>
      </w:pPr>
      <w:r>
        <w:tab/>
        <w:t>2. Nustatyti, kad šio sprendimo 1 punkte išdėstyti geriamojo vandens ir nuotekų tvarkymo apskaitos prietaisų priežiūros</w:t>
      </w:r>
      <w:r w:rsidR="00BE343C">
        <w:t xml:space="preserve"> mokesčiai būtų taikomi nuo 2022</w:t>
      </w:r>
      <w:r>
        <w:t xml:space="preserve"> m. sausio 1 d.</w:t>
      </w:r>
    </w:p>
    <w:p w14:paraId="582DABCF" w14:textId="77777777" w:rsidR="001B2683" w:rsidRDefault="00EA66D1">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B250ED2" w14:textId="77777777" w:rsidR="001B2683" w:rsidRDefault="001B2683">
      <w:pPr>
        <w:jc w:val="both"/>
      </w:pPr>
    </w:p>
    <w:p w14:paraId="07B67A57" w14:textId="77777777" w:rsidR="00C461A3" w:rsidRDefault="00C461A3">
      <w:pPr>
        <w:jc w:val="both"/>
      </w:pPr>
    </w:p>
    <w:tbl>
      <w:tblPr>
        <w:tblW w:w="9639" w:type="dxa"/>
        <w:tblInd w:w="103" w:type="dxa"/>
        <w:tblLayout w:type="fixed"/>
        <w:tblLook w:val="0000" w:firstRow="0" w:lastRow="0" w:firstColumn="0" w:lastColumn="0" w:noHBand="0" w:noVBand="0"/>
      </w:tblPr>
      <w:tblGrid>
        <w:gridCol w:w="6382"/>
        <w:gridCol w:w="3257"/>
      </w:tblGrid>
      <w:tr w:rsidR="001B2683" w14:paraId="5B470172" w14:textId="77777777">
        <w:trPr>
          <w:trHeight w:val="180"/>
        </w:trPr>
        <w:tc>
          <w:tcPr>
            <w:tcW w:w="6381" w:type="dxa"/>
            <w:shd w:val="clear" w:color="auto" w:fill="auto"/>
          </w:tcPr>
          <w:p w14:paraId="7E800C61" w14:textId="77777777" w:rsidR="001B2683" w:rsidRDefault="00EA66D1">
            <w:pPr>
              <w:pStyle w:val="Antrats"/>
              <w:widowControl w:val="0"/>
              <w:ind w:left="-105"/>
              <w:rPr>
                <w:lang w:eastAsia="de-DE"/>
              </w:rPr>
            </w:pPr>
            <w:r>
              <w:t>Savivaldybės meras</w:t>
            </w:r>
          </w:p>
        </w:tc>
        <w:tc>
          <w:tcPr>
            <w:tcW w:w="3257" w:type="dxa"/>
            <w:shd w:val="clear" w:color="auto" w:fill="auto"/>
          </w:tcPr>
          <w:p w14:paraId="1167EEF6" w14:textId="77777777" w:rsidR="001B2683" w:rsidRDefault="00EA66D1">
            <w:pPr>
              <w:widowControl w:val="0"/>
              <w:ind w:right="-105"/>
              <w:jc w:val="right"/>
            </w:pPr>
            <w:r>
              <w:t>Petras Pušinskas</w:t>
            </w:r>
          </w:p>
        </w:tc>
      </w:tr>
    </w:tbl>
    <w:p w14:paraId="4E0F6774" w14:textId="77777777" w:rsidR="001B2683" w:rsidRDefault="001B2683">
      <w:pPr>
        <w:jc w:val="both"/>
      </w:pPr>
    </w:p>
    <w:p w14:paraId="40009C57" w14:textId="77777777" w:rsidR="00C461A3" w:rsidRDefault="00C461A3">
      <w:pPr>
        <w:jc w:val="both"/>
      </w:pPr>
    </w:p>
    <w:p w14:paraId="62D53A79" w14:textId="77777777" w:rsidR="001B2683" w:rsidRDefault="001B2683">
      <w:pPr>
        <w:jc w:val="center"/>
      </w:pPr>
    </w:p>
    <w:p w14:paraId="293119C9" w14:textId="77777777" w:rsidR="001B2683" w:rsidRDefault="00BE343C">
      <w:pPr>
        <w:rPr>
          <w:lang w:eastAsia="de-DE"/>
        </w:rPr>
      </w:pPr>
      <w:r>
        <w:rPr>
          <w:lang w:eastAsia="de-DE"/>
        </w:rPr>
        <w:t>Rasa Andriekienė, tel. (8 440)  45 590</w:t>
      </w:r>
    </w:p>
    <w:sectPr w:rsidR="001B2683">
      <w:headerReference w:type="first" r:id="rId6"/>
      <w:pgSz w:w="11906" w:h="16838"/>
      <w:pgMar w:top="567" w:right="567" w:bottom="1134" w:left="1701"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28AF" w14:textId="77777777" w:rsidR="004E37B7" w:rsidRDefault="004E37B7">
      <w:r>
        <w:separator/>
      </w:r>
    </w:p>
  </w:endnote>
  <w:endnote w:type="continuationSeparator" w:id="0">
    <w:p w14:paraId="3E27E221" w14:textId="77777777" w:rsidR="004E37B7" w:rsidRDefault="004E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EA56" w14:textId="77777777" w:rsidR="004E37B7" w:rsidRDefault="004E37B7">
      <w:r>
        <w:separator/>
      </w:r>
    </w:p>
  </w:footnote>
  <w:footnote w:type="continuationSeparator" w:id="0">
    <w:p w14:paraId="78C112BD" w14:textId="77777777" w:rsidR="004E37B7" w:rsidRDefault="004E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A881" w14:textId="41DC4DF6" w:rsidR="001B2683" w:rsidRDefault="00EA66D1">
    <w:pPr>
      <w:pStyle w:val="Antrats"/>
      <w:jc w:val="right"/>
      <w:rPr>
        <w:b/>
      </w:rPr>
    </w:pPr>
    <w:r>
      <w:rPr>
        <w:noProof/>
        <w:lang w:eastAsia="lt-LT"/>
      </w:rPr>
      <w:drawing>
        <wp:anchor distT="0" distB="0" distL="0" distR="0" simplePos="0" relativeHeight="2" behindDoc="1" locked="0" layoutInCell="0" allowOverlap="1" wp14:anchorId="0C8F4F59" wp14:editId="70E3C499">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624E86">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83"/>
    <w:rsid w:val="00091734"/>
    <w:rsid w:val="001B2683"/>
    <w:rsid w:val="001D3286"/>
    <w:rsid w:val="001E37B8"/>
    <w:rsid w:val="00234373"/>
    <w:rsid w:val="002A78FF"/>
    <w:rsid w:val="002B4F6B"/>
    <w:rsid w:val="00395588"/>
    <w:rsid w:val="003F5BF5"/>
    <w:rsid w:val="004E37B7"/>
    <w:rsid w:val="00624E86"/>
    <w:rsid w:val="006D3AA2"/>
    <w:rsid w:val="008B22B3"/>
    <w:rsid w:val="008C11EE"/>
    <w:rsid w:val="00A8103F"/>
    <w:rsid w:val="00AE4F3A"/>
    <w:rsid w:val="00BE343C"/>
    <w:rsid w:val="00C461A3"/>
    <w:rsid w:val="00CF3D7E"/>
    <w:rsid w:val="00D720CF"/>
    <w:rsid w:val="00DB05C7"/>
    <w:rsid w:val="00EA66D1"/>
    <w:rsid w:val="00F21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A32E"/>
  <w15:docId w15:val="{A1F7B2CA-664A-47D4-A1A0-2008706A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next w:val="Pagrindinistekstas"/>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customStyle="1" w:styleId="Puslapinantratirporat">
    <w:name w:val="Puslapinė antraštė ir poraštė"/>
    <w:basedOn w:val="prastasis"/>
    <w:qFormat/>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C461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61A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1688</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Živilė Sendrauskienė</cp:lastModifiedBy>
  <cp:revision>2</cp:revision>
  <dcterms:created xsi:type="dcterms:W3CDTF">2021-12-15T12:55:00Z</dcterms:created>
  <dcterms:modified xsi:type="dcterms:W3CDTF">2021-12-15T12:55:00Z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dc:description/>
  <dc:language>lt-LT</dc:language>
  <cp:lastModifiedBy/>
  <dcterms:modified xsi:type="dcterms:W3CDTF">2020-11-10T15:53:27Z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