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6646" w14:textId="77777777" w:rsidR="00131414" w:rsidRDefault="00131414" w:rsidP="002E0D13">
      <w:pPr>
        <w:ind w:left="4678" w:hanging="142"/>
      </w:pPr>
      <w:r>
        <w:t>PATVIRTINTA</w:t>
      </w:r>
    </w:p>
    <w:p w14:paraId="25BC8DA8" w14:textId="77777777" w:rsidR="00131414" w:rsidRDefault="00131414" w:rsidP="002E0D13">
      <w:pPr>
        <w:ind w:left="4678" w:hanging="142"/>
      </w:pPr>
      <w:r>
        <w:t xml:space="preserve">Skuodo rajono savivaldybės tarybos </w:t>
      </w:r>
    </w:p>
    <w:p w14:paraId="4D93342E" w14:textId="01DBC0B9" w:rsidR="00131414" w:rsidRDefault="00131414" w:rsidP="002E0D13">
      <w:pPr>
        <w:ind w:left="4678" w:hanging="142"/>
      </w:pPr>
      <w:r>
        <w:t xml:space="preserve">2021 m. balandžio </w:t>
      </w:r>
      <w:r w:rsidR="002E0D13">
        <w:t>29</w:t>
      </w:r>
      <w:r>
        <w:t xml:space="preserve"> d. sprendimu </w:t>
      </w:r>
      <w:bookmarkStart w:id="0" w:name="SHOWS"/>
      <w:r>
        <w:t>Nr. T10-</w:t>
      </w:r>
      <w:r w:rsidR="002E0D13">
        <w:t>92</w:t>
      </w:r>
      <w:r>
        <w:t>/T9-</w:t>
      </w:r>
      <w:bookmarkEnd w:id="0"/>
    </w:p>
    <w:p w14:paraId="550BF3AB" w14:textId="77777777" w:rsidR="00377A50" w:rsidRPr="006713E2" w:rsidRDefault="00377A50" w:rsidP="00377A50">
      <w:pPr>
        <w:tabs>
          <w:tab w:val="left" w:pos="6237"/>
        </w:tabs>
      </w:pPr>
    </w:p>
    <w:p w14:paraId="468FBA84" w14:textId="77777777" w:rsidR="00377A50" w:rsidRPr="006713E2" w:rsidRDefault="00377A50" w:rsidP="00377A50">
      <w:pPr>
        <w:keepLines/>
        <w:tabs>
          <w:tab w:val="left" w:pos="7020"/>
        </w:tabs>
        <w:suppressAutoHyphens/>
        <w:autoSpaceDN w:val="0"/>
        <w:jc w:val="center"/>
        <w:textAlignment w:val="baseline"/>
        <w:rPr>
          <w:bCs/>
          <w:color w:val="000000"/>
          <w:sz w:val="22"/>
        </w:rPr>
      </w:pPr>
    </w:p>
    <w:p w14:paraId="020B77CE" w14:textId="16F10A39" w:rsidR="00377A50" w:rsidRPr="006713E2" w:rsidRDefault="00CD3921" w:rsidP="00377A50">
      <w:pPr>
        <w:keepLines/>
        <w:tabs>
          <w:tab w:val="left" w:pos="7020"/>
        </w:tabs>
        <w:suppressAutoHyphens/>
        <w:autoSpaceDN w:val="0"/>
        <w:jc w:val="center"/>
        <w:textAlignment w:val="baseline"/>
        <w:rPr>
          <w:b/>
          <w:bCs/>
          <w:sz w:val="22"/>
        </w:rPr>
      </w:pPr>
      <w:r w:rsidRPr="00341B41">
        <w:rPr>
          <w:b/>
          <w:bCs/>
          <w:sz w:val="22"/>
        </w:rPr>
        <w:t>SKUODO RAJONO KULTŪROS CENTRO</w:t>
      </w:r>
      <w:r w:rsidR="003F3C18" w:rsidRPr="00341B41">
        <w:rPr>
          <w:b/>
          <w:bCs/>
          <w:sz w:val="22"/>
        </w:rPr>
        <w:t xml:space="preserve"> </w:t>
      </w:r>
      <w:r w:rsidR="00377A50" w:rsidRPr="00A0000D">
        <w:rPr>
          <w:b/>
          <w:bCs/>
          <w:sz w:val="22"/>
        </w:rPr>
        <w:t>2</w:t>
      </w:r>
      <w:r w:rsidR="00377A50" w:rsidRPr="006713E2">
        <w:rPr>
          <w:b/>
          <w:bCs/>
          <w:sz w:val="22"/>
        </w:rPr>
        <w:t>0</w:t>
      </w:r>
      <w:r w:rsidRPr="00CD3921">
        <w:rPr>
          <w:b/>
          <w:bCs/>
          <w:sz w:val="22"/>
        </w:rPr>
        <w:t>20</w:t>
      </w:r>
      <w:r>
        <w:rPr>
          <w:bCs/>
          <w:sz w:val="22"/>
        </w:rPr>
        <w:t xml:space="preserve"> </w:t>
      </w:r>
      <w:r w:rsidR="00377A50" w:rsidRPr="006713E2">
        <w:rPr>
          <w:b/>
          <w:bCs/>
          <w:sz w:val="22"/>
        </w:rPr>
        <w:t>METŲ VEIKLOS ATASKAITA</w:t>
      </w:r>
    </w:p>
    <w:p w14:paraId="45B98AA1" w14:textId="77777777" w:rsidR="00377A50" w:rsidRPr="006713E2" w:rsidRDefault="00377A50" w:rsidP="00377A50">
      <w:pPr>
        <w:suppressAutoHyphens/>
        <w:autoSpaceDN w:val="0"/>
        <w:jc w:val="center"/>
        <w:textAlignment w:val="baseline"/>
        <w:rPr>
          <w:b/>
        </w:rPr>
      </w:pPr>
    </w:p>
    <w:p w14:paraId="7A081522" w14:textId="77777777" w:rsidR="00377A50" w:rsidRPr="006713E2" w:rsidRDefault="00377A50" w:rsidP="00377A50">
      <w:pPr>
        <w:suppressAutoHyphens/>
        <w:autoSpaceDN w:val="0"/>
        <w:jc w:val="center"/>
        <w:textAlignment w:val="baseline"/>
        <w:rPr>
          <w:b/>
        </w:rPr>
      </w:pPr>
      <w:r w:rsidRPr="006713E2">
        <w:rPr>
          <w:b/>
        </w:rPr>
        <w:t>VADOVO ŽODIS</w:t>
      </w:r>
    </w:p>
    <w:p w14:paraId="231FA09B" w14:textId="77777777" w:rsidR="00377A50" w:rsidRPr="006713E2" w:rsidRDefault="00377A50" w:rsidP="00377A50">
      <w:pPr>
        <w:suppressAutoHyphens/>
        <w:autoSpaceDN w:val="0"/>
        <w:jc w:val="center"/>
        <w:textAlignment w:val="baseline"/>
        <w:rPr>
          <w:b/>
        </w:rPr>
      </w:pPr>
    </w:p>
    <w:p w14:paraId="1B1B1585" w14:textId="77777777" w:rsidR="00DF69D7" w:rsidRPr="00C706C8" w:rsidRDefault="00DF69D7" w:rsidP="00377A50">
      <w:pPr>
        <w:suppressAutoHyphens/>
        <w:autoSpaceDN w:val="0"/>
        <w:jc w:val="both"/>
        <w:textAlignment w:val="baseline"/>
        <w:rPr>
          <w:i/>
          <w:sz w:val="16"/>
        </w:rPr>
      </w:pPr>
    </w:p>
    <w:p w14:paraId="79154BA1" w14:textId="77777777" w:rsidR="00DF69D7" w:rsidRDefault="00DF69D7" w:rsidP="00DF69D7">
      <w:pPr>
        <w:suppressAutoHyphens/>
        <w:autoSpaceDN w:val="0"/>
        <w:ind w:firstLine="1247"/>
        <w:jc w:val="both"/>
        <w:textAlignment w:val="baseline"/>
      </w:pPr>
      <w:r w:rsidRPr="006B3563">
        <w:t>Skuodo rajono kultūros centras</w:t>
      </w:r>
      <w:r>
        <w:t xml:space="preserve"> (toliau – Kultūros centras)</w:t>
      </w:r>
      <w:r w:rsidRPr="006B3563">
        <w:t xml:space="preserve"> yra Skuodo rajono savivaldybės pelno nesiekiantis ribotos civilinės atsakomybės viešasis juridinis asmuo, veikiantis kultūros srityje ir viešai teikiantis šios srities paslaugas.</w:t>
      </w:r>
      <w:r>
        <w:t xml:space="preserve"> Nuo 2016 metų Kultūros centrui patvirtinta I kategorija.</w:t>
      </w:r>
    </w:p>
    <w:p w14:paraId="41036828" w14:textId="77777777" w:rsidR="00DF69D7" w:rsidRDefault="00DF69D7" w:rsidP="00DF69D7">
      <w:pPr>
        <w:suppressAutoHyphens/>
        <w:autoSpaceDN w:val="0"/>
        <w:ind w:firstLine="1247"/>
        <w:jc w:val="both"/>
        <w:textAlignment w:val="baseline"/>
      </w:pPr>
      <w:r w:rsidRPr="00200042">
        <w:t xml:space="preserve">Pagrindinės Skuodo rajono kultūros centro funkcijos, teikiamos paslaugos – kalendorinių, atmintinų datų ir valstybinių švenčių organizavimas, vietos bendruomenių kultūrinių poreikių tenkinimas, mėgėjų meno kolektyvų veiklos organizavimas,  rūpinimasis  tradicijų išsaugojimu, kultūros ir profesionalaus meno sklaida, kultūrinių bei dvasinių vertybių populiarinimas visuomenėje, žemaitiškų kultūros vertybių paveldo išsaugojimas, pramoginių ir edukacinių renginių organizavimas, Skuodo krašto kultūrinio išskirtinumo </w:t>
      </w:r>
      <w:r w:rsidRPr="00CE439A">
        <w:t xml:space="preserve">formavimas, rajono įvaizdžio tobulinimas, Skuodo vardo garsinimas šalyje ir už jos ribų. </w:t>
      </w:r>
    </w:p>
    <w:p w14:paraId="3ABFAC5C" w14:textId="59AF2F2A" w:rsidR="00DF69D7" w:rsidRPr="00CF57E7" w:rsidRDefault="00DF69D7" w:rsidP="00DF69D7">
      <w:pPr>
        <w:suppressAutoHyphens/>
        <w:autoSpaceDN w:val="0"/>
        <w:ind w:firstLine="1247"/>
        <w:jc w:val="both"/>
        <w:textAlignment w:val="baseline"/>
        <w:rPr>
          <w:color w:val="FF0000"/>
        </w:rPr>
      </w:pPr>
      <w:r w:rsidRPr="004049A8">
        <w:rPr>
          <w:b/>
        </w:rPr>
        <w:t>Kultūros centro struktūra</w:t>
      </w:r>
      <w:r w:rsidRPr="00987B7A">
        <w:t>.</w:t>
      </w:r>
      <w:r w:rsidRPr="003833FF">
        <w:rPr>
          <w:b/>
        </w:rPr>
        <w:t xml:space="preserve"> </w:t>
      </w:r>
      <w:r w:rsidR="000E3A2B">
        <w:t xml:space="preserve">Skuodo rajono kultūros centras turi 25 etatus. </w:t>
      </w:r>
      <w:r w:rsidR="00CF57E7">
        <w:t>2020</w:t>
      </w:r>
      <w:r>
        <w:t xml:space="preserve"> metais </w:t>
      </w:r>
      <w:r w:rsidR="00A0000D">
        <w:t>K</w:t>
      </w:r>
      <w:r>
        <w:t>ultūros centre dirbo ir visas funkcijas įgyvendino</w:t>
      </w:r>
      <w:r w:rsidRPr="003833FF">
        <w:t xml:space="preserve"> tinkamą išsilavinimą ir kvalifikaciją kultūros ir švietimo srityje tu</w:t>
      </w:r>
      <w:r w:rsidR="008E1C26">
        <w:t>rinty</w:t>
      </w:r>
      <w:r w:rsidRPr="003833FF">
        <w:t xml:space="preserve">s </w:t>
      </w:r>
      <w:r w:rsidRPr="00B61E71">
        <w:t>3</w:t>
      </w:r>
      <w:r w:rsidR="00243C2C" w:rsidRPr="00B61E71">
        <w:t>3</w:t>
      </w:r>
      <w:r w:rsidRPr="00B61E71">
        <w:t xml:space="preserve"> (trisdešimt </w:t>
      </w:r>
      <w:r w:rsidR="00243C2C" w:rsidRPr="00B61E71">
        <w:t>trys</w:t>
      </w:r>
      <w:r w:rsidRPr="00B61E71">
        <w:t>) darbuoto</w:t>
      </w:r>
      <w:r w:rsidR="00243C2C" w:rsidRPr="00B61E71">
        <w:t>jai, iš jų – 3 (trys) administracijos, 3</w:t>
      </w:r>
      <w:r w:rsidRPr="00B61E71">
        <w:t xml:space="preserve"> (trys) techniniai ir 2</w:t>
      </w:r>
      <w:r w:rsidR="00243C2C" w:rsidRPr="00B61E71">
        <w:t>7</w:t>
      </w:r>
      <w:r w:rsidRPr="00B61E71">
        <w:t xml:space="preserve"> (dvidešimt </w:t>
      </w:r>
      <w:r w:rsidR="00B61E71" w:rsidRPr="00B61E71">
        <w:t>septyni</w:t>
      </w:r>
      <w:r w:rsidRPr="00B61E71">
        <w:t xml:space="preserve">) kūrybiniai darbuotojai. </w:t>
      </w:r>
      <w:r w:rsidR="000E3A2B">
        <w:t>Tokius skaičius įtakojo darbuotojų kaita</w:t>
      </w:r>
      <w:r w:rsidR="00B61E71">
        <w:t xml:space="preserve">. Metų pradžioje į darbą buvo priimta kultūrinių renginių organizatorė Notėnuose, tačiau kovo 12 dieną išėjo iš darbo savo noru ir kitas </w:t>
      </w:r>
      <w:r w:rsidR="00435B2F">
        <w:t xml:space="preserve">tinkamas </w:t>
      </w:r>
      <w:r w:rsidR="00B61E71">
        <w:t>darbuotojas į vietą neatsirado. Taip pat iš darbo išėjo meno vadovė ir</w:t>
      </w:r>
      <w:r w:rsidR="00DA08FD">
        <w:t xml:space="preserve"> tuo pačiu metu</w:t>
      </w:r>
      <w:r w:rsidR="00B61E71">
        <w:t xml:space="preserve"> laikinai dirbusi Aleksandrijos kultūrinių renginių organizatorė, į kurios vietą metų pabaigoje priimta nauja liaudiškų šokių kolektyvo meno vadovė, o į organizator</w:t>
      </w:r>
      <w:r w:rsidR="00A0000D">
        <w:t>ė</w:t>
      </w:r>
      <w:r w:rsidR="00B61E71">
        <w:t>s pareigas grįžo buvusi darbuotoja, pasibaigus vaiko priežiūros atostogoms. Be to, darbą paliko</w:t>
      </w:r>
      <w:r w:rsidR="008809F7">
        <w:t xml:space="preserve"> Ylakių meno vadovė bei priimtas </w:t>
      </w:r>
      <w:r w:rsidR="006B0734">
        <w:t>dar vienas garso ir šviesos operatorius</w:t>
      </w:r>
      <w:r w:rsidRPr="00B61E71">
        <w:t xml:space="preserve">. </w:t>
      </w:r>
      <w:r w:rsidR="003D00AC" w:rsidRPr="003D00AC">
        <w:t>J</w:t>
      </w:r>
      <w:r w:rsidR="00B61E71" w:rsidRPr="003D00AC">
        <w:t>aučiamas 2</w:t>
      </w:r>
      <w:r w:rsidRPr="003D00AC">
        <w:t xml:space="preserve"> (dviejų) kultūros ir meno specialistų poreikis (Notėnų skyriaus kultūrinių renginių organizatori</w:t>
      </w:r>
      <w:r w:rsidR="00B61E71" w:rsidRPr="003D00AC">
        <w:t>aus ir meno vadovo Ylakiuose</w:t>
      </w:r>
      <w:r w:rsidRPr="003D00AC">
        <w:t>)</w:t>
      </w:r>
      <w:r w:rsidRPr="001340CC">
        <w:t>.</w:t>
      </w:r>
      <w:r w:rsidRPr="00CF57E7">
        <w:rPr>
          <w:color w:val="FF0000"/>
        </w:rPr>
        <w:t xml:space="preserve"> </w:t>
      </w:r>
      <w:r w:rsidR="001340CC" w:rsidRPr="00DA08FD">
        <w:t xml:space="preserve">Kultūros centras, siekdamas patenkinti teikiamas paslaugas ir kompensuodamas specialisto trūkumą, Notėnų skyrių koordinuoja tiesiogiai iš Skuodo. </w:t>
      </w:r>
      <w:r w:rsidR="00AC73FB">
        <w:t>Per metus</w:t>
      </w:r>
      <w:r w:rsidR="00AC73FB" w:rsidRPr="00DA08FD">
        <w:t xml:space="preserve"> </w:t>
      </w:r>
      <w:r w:rsidR="00AC73FB">
        <w:t>t</w:t>
      </w:r>
      <w:r w:rsidR="00AC73FB" w:rsidRPr="00B61E71">
        <w:t>obulino kvalifikaciją 56 darbuotojai (įskaitant, kad 1 darbuotojas dalyvavo keliuose seminaruose)</w:t>
      </w:r>
      <w:r w:rsidR="00AC73FB">
        <w:t xml:space="preserve">. </w:t>
      </w:r>
      <w:r w:rsidRPr="00DA08FD">
        <w:t>Nekonkurencingi atlyginimai,</w:t>
      </w:r>
      <w:r w:rsidR="00DA08FD" w:rsidRPr="00DA08FD">
        <w:t xml:space="preserve"> </w:t>
      </w:r>
      <w:r w:rsidR="002E0D13" w:rsidRPr="00DA08FD">
        <w:t>reorganizacijos</w:t>
      </w:r>
      <w:r w:rsidR="00DA08FD" w:rsidRPr="00DA08FD">
        <w:t>,</w:t>
      </w:r>
      <w:r w:rsidR="008E1C26">
        <w:t xml:space="preserve"> motyvavimo</w:t>
      </w:r>
      <w:r w:rsidR="000E3A2B">
        <w:t xml:space="preserve"> trūkumas</w:t>
      </w:r>
      <w:r w:rsidRPr="00DA08FD">
        <w:t xml:space="preserve"> </w:t>
      </w:r>
      <w:r w:rsidR="00DA08FD" w:rsidRPr="00DA08FD">
        <w:t>ir</w:t>
      </w:r>
      <w:r w:rsidR="000E3A2B">
        <w:t xml:space="preserve"> mažas</w:t>
      </w:r>
      <w:r w:rsidR="00DA08FD" w:rsidRPr="00DA08FD">
        <w:t xml:space="preserve"> skatinimas </w:t>
      </w:r>
      <w:r w:rsidRPr="00DA08FD">
        <w:t xml:space="preserve">atvykti į Skuodą ar rajono seniūniją sunkina jaunų kvalifikuotų specialistų pritraukimą. </w:t>
      </w:r>
    </w:p>
    <w:p w14:paraId="6644197D" w14:textId="20635427" w:rsidR="00DF69D7" w:rsidRPr="00CF57E7" w:rsidRDefault="00B80522" w:rsidP="00DF69D7">
      <w:pPr>
        <w:suppressAutoHyphens/>
        <w:autoSpaceDN w:val="0"/>
        <w:ind w:firstLine="1247"/>
        <w:jc w:val="both"/>
        <w:textAlignment w:val="baseline"/>
        <w:rPr>
          <w:color w:val="FF0000"/>
        </w:rPr>
      </w:pPr>
      <w:r w:rsidRPr="00657BAD">
        <w:t>2020 metai buvo išskirt</w:t>
      </w:r>
      <w:r w:rsidR="0074062C" w:rsidRPr="00657BAD">
        <w:t>iniai renginių atžvilgiu</w:t>
      </w:r>
      <w:r w:rsidRPr="00657BAD">
        <w:t>. Daugelį planų, projektų bei sumanymų pakoregavo pandemija ir diktuojamos karantino sąlygos. Tačiau pateisindamas savo vardą, Kultūros centras pažvelgė į situaciją kūrybiškai ir</w:t>
      </w:r>
      <w:r w:rsidR="00A0000D">
        <w:t>,</w:t>
      </w:r>
      <w:r w:rsidRPr="00657BAD">
        <w:t xml:space="preserve"> kiek leido galimybės</w:t>
      </w:r>
      <w:r w:rsidR="000C4262">
        <w:t>,</w:t>
      </w:r>
      <w:r w:rsidR="0074062C" w:rsidRPr="00657BAD">
        <w:t xml:space="preserve"> daugumą veiklų perkėlė į socialinius tinklus, vykdė užsiėmimus nuotoliniu būdu. Iš viso </w:t>
      </w:r>
      <w:r w:rsidR="00DF69D7" w:rsidRPr="00657BAD">
        <w:t>suorganizuota</w:t>
      </w:r>
      <w:r w:rsidR="00657BAD" w:rsidRPr="00657BAD">
        <w:t xml:space="preserve"> 317</w:t>
      </w:r>
      <w:r w:rsidR="00DF69D7" w:rsidRPr="00657BAD">
        <w:t xml:space="preserve"> </w:t>
      </w:r>
      <w:r w:rsidR="00657BAD" w:rsidRPr="00657BAD">
        <w:t>(trys šimtai septyniolika</w:t>
      </w:r>
      <w:r w:rsidR="00DF69D7" w:rsidRPr="00657BAD">
        <w:t>) etninės kultūros, mėgėjų meno,</w:t>
      </w:r>
      <w:r w:rsidR="00657BAD" w:rsidRPr="00657BAD">
        <w:t xml:space="preserve"> pramoginių, </w:t>
      </w:r>
      <w:r w:rsidR="00DF69D7" w:rsidRPr="00657BAD">
        <w:t>profesionalaus meno</w:t>
      </w:r>
      <w:r w:rsidR="00657BAD" w:rsidRPr="00657BAD">
        <w:t xml:space="preserve"> ir nuotolinių</w:t>
      </w:r>
      <w:r w:rsidR="00DF69D7" w:rsidRPr="00657BAD">
        <w:t xml:space="preserve"> renginių, kuriuos</w:t>
      </w:r>
      <w:r w:rsidR="006A4B40">
        <w:t>e</w:t>
      </w:r>
      <w:r w:rsidR="00657BAD" w:rsidRPr="00657BAD">
        <w:t xml:space="preserve"> dalyvavo, lankėsi arba stebėjo internetu</w:t>
      </w:r>
      <w:r w:rsidR="00DF69D7" w:rsidRPr="00657BAD">
        <w:t xml:space="preserve"> </w:t>
      </w:r>
      <w:r w:rsidR="00657BAD" w:rsidRPr="00657BAD">
        <w:t>208 696</w:t>
      </w:r>
      <w:r w:rsidR="00DF69D7" w:rsidRPr="00657BAD">
        <w:t xml:space="preserve"> </w:t>
      </w:r>
      <w:r w:rsidR="00DF69D7" w:rsidRPr="006A4B40">
        <w:t>(</w:t>
      </w:r>
      <w:r w:rsidR="006A4B40">
        <w:t>du šimtai aštuoni tūkstančiai šeši šimtai devyniasdešimt šeši</w:t>
      </w:r>
      <w:r w:rsidR="00DF69D7" w:rsidRPr="006A4B40">
        <w:t xml:space="preserve">) </w:t>
      </w:r>
      <w:r w:rsidR="006A4B40" w:rsidRPr="006A4B40">
        <w:t>žiūrovai ir dalyviai</w:t>
      </w:r>
      <w:r w:rsidR="002A7E25" w:rsidRPr="008D05FD">
        <w:t>.</w:t>
      </w:r>
      <w:r w:rsidR="002A7E25">
        <w:rPr>
          <w:color w:val="FF0000"/>
        </w:rPr>
        <w:t xml:space="preserve"> </w:t>
      </w:r>
      <w:r w:rsidR="002A7E25" w:rsidRPr="00D971D7">
        <w:t>Kultūros centras turi 26</w:t>
      </w:r>
      <w:r w:rsidR="00DF69D7" w:rsidRPr="00D971D7">
        <w:t xml:space="preserve"> mėgėjų meno kolektyvus ir 5 būrelius (studijas), kurių veikloje dalyvauja </w:t>
      </w:r>
      <w:r w:rsidR="002A7E25" w:rsidRPr="00D971D7">
        <w:t>287</w:t>
      </w:r>
      <w:r w:rsidR="00DF69D7" w:rsidRPr="00D971D7">
        <w:t xml:space="preserve"> nariai (saviveiklininkai). Per metus kolektyvai surengė  </w:t>
      </w:r>
      <w:r w:rsidR="00D971D7" w:rsidRPr="00D971D7">
        <w:t>100</w:t>
      </w:r>
      <w:r w:rsidR="00DF69D7" w:rsidRPr="00D971D7">
        <w:t xml:space="preserve"> </w:t>
      </w:r>
      <w:r w:rsidR="00D971D7" w:rsidRPr="00D971D7">
        <w:t>pasirodymų</w:t>
      </w:r>
      <w:r w:rsidR="00DF69D7" w:rsidRPr="00D971D7">
        <w:t xml:space="preserve"> rajone, Lietuvoje ir už jos ribų kartu sudėjus.</w:t>
      </w:r>
      <w:r w:rsidR="008E1C26">
        <w:t xml:space="preserve"> Reikėtų paminėti, kad mažą kolektyvų pasirodymą lėmė pandemija ir karantino sąlygos.</w:t>
      </w:r>
    </w:p>
    <w:p w14:paraId="5D92C8F8" w14:textId="42B9D48D" w:rsidR="00DF69D7" w:rsidRPr="002C0E9C" w:rsidRDefault="00A51372" w:rsidP="002C0E9C">
      <w:pPr>
        <w:suppressAutoHyphens/>
        <w:autoSpaceDN w:val="0"/>
        <w:ind w:firstLine="1247"/>
        <w:jc w:val="both"/>
        <w:textAlignment w:val="baseline"/>
        <w:rPr>
          <w:bCs/>
        </w:rPr>
      </w:pPr>
      <w:r w:rsidRPr="00A75D7B">
        <w:t>Kultūros centras 2020 metais parengė ir pateikė 6 (šešias</w:t>
      </w:r>
      <w:r w:rsidR="00DF69D7" w:rsidRPr="00A75D7B">
        <w:t>) projektų paraiškas į Lietuvos kultūros tarybą (Tolygios kultūrinės raidos įgyvendinimas regionuose:</w:t>
      </w:r>
      <w:r w:rsidRPr="00A75D7B">
        <w:t xml:space="preserve"> Klaipėdos apskritis), 1 paraišką į </w:t>
      </w:r>
      <w:r w:rsidR="00A75D7B" w:rsidRPr="00A75D7B">
        <w:t xml:space="preserve">LR </w:t>
      </w:r>
      <w:r w:rsidR="00A0000D">
        <w:t>k</w:t>
      </w:r>
      <w:r w:rsidR="00A75D7B" w:rsidRPr="00A75D7B">
        <w:t>ultūros ministerijos skelbiamą konkursą ir 1 paraišką parengė Skuodo rajono Daukšių kaimo bendruomenei, kuri teikė Skuodo vietos veiklos grupei. Taip pat Mosėdžio, Šačių ir Ylakių kultūrinių renginių organizatorės aktyviai padeda rengti projektų paraiškas bendruomenėms ir asociacijoms, kad jų seniūnij</w:t>
      </w:r>
      <w:r w:rsidR="00A0000D">
        <w:t>os</w:t>
      </w:r>
      <w:r w:rsidR="00A75D7B" w:rsidRPr="00A75D7B">
        <w:t xml:space="preserve"> </w:t>
      </w:r>
      <w:r w:rsidR="00A0000D">
        <w:t>gautų</w:t>
      </w:r>
      <w:r w:rsidR="00A75D7B" w:rsidRPr="00A75D7B">
        <w:t xml:space="preserve"> daugiau lėšų renginiams įgyvendinti. </w:t>
      </w:r>
      <w:r w:rsidR="00DF69D7" w:rsidRPr="00A75D7B">
        <w:rPr>
          <w:bCs/>
        </w:rPr>
        <w:t xml:space="preserve">Lietuvos kultūros tarybos </w:t>
      </w:r>
      <w:r w:rsidR="00DF69D7" w:rsidRPr="00A75D7B">
        <w:rPr>
          <w:bCs/>
        </w:rPr>
        <w:lastRenderedPageBreak/>
        <w:t>g</w:t>
      </w:r>
      <w:r w:rsidR="00A75D7B" w:rsidRPr="00A75D7B">
        <w:rPr>
          <w:bCs/>
        </w:rPr>
        <w:t>automis lėšomis (VB) įgyvendintas 1</w:t>
      </w:r>
      <w:r w:rsidR="00DF69D7" w:rsidRPr="00A75D7B">
        <w:rPr>
          <w:bCs/>
        </w:rPr>
        <w:t xml:space="preserve"> </w:t>
      </w:r>
      <w:r w:rsidR="00A75D7B" w:rsidRPr="00A75D7B">
        <w:rPr>
          <w:bCs/>
        </w:rPr>
        <w:t xml:space="preserve">(vienas) projektas pilnai ir 1 (vienas) projektas dalinai </w:t>
      </w:r>
      <w:r w:rsidR="00A75D7B" w:rsidRPr="002C0E9C">
        <w:rPr>
          <w:bCs/>
        </w:rPr>
        <w:t>(</w:t>
      </w:r>
      <w:r w:rsidR="002C0E9C">
        <w:rPr>
          <w:bCs/>
        </w:rPr>
        <w:t>dėl karantino sąlygų nuspręsta Tarptautinį senųjų amatų, archajinės muzikos ir karybos festivalį „Apuolė“ perkelti į 2021 metus</w:t>
      </w:r>
      <w:r w:rsidR="00A75D7B" w:rsidRPr="002C0E9C">
        <w:rPr>
          <w:bCs/>
        </w:rPr>
        <w:t>).</w:t>
      </w:r>
      <w:r w:rsidR="00A75D7B">
        <w:rPr>
          <w:bCs/>
          <w:color w:val="FF0000"/>
        </w:rPr>
        <w:t xml:space="preserve"> </w:t>
      </w:r>
      <w:r w:rsidR="00E225FF" w:rsidRPr="00A65B11">
        <w:rPr>
          <w:bCs/>
        </w:rPr>
        <w:t>Iš viso gauta 5 350,00 (penki tūkstančiai trys šimtai penkiasdešimt (VB)</w:t>
      </w:r>
      <w:r w:rsidR="00DF69D7" w:rsidRPr="00A65B11">
        <w:rPr>
          <w:bCs/>
        </w:rPr>
        <w:t>) Eur projektinių lėšų</w:t>
      </w:r>
      <w:r w:rsidR="000A292D">
        <w:rPr>
          <w:bCs/>
        </w:rPr>
        <w:t>,</w:t>
      </w:r>
      <w:r w:rsidR="00DF69D7" w:rsidRPr="00A65B11">
        <w:rPr>
          <w:bCs/>
        </w:rPr>
        <w:t xml:space="preserve"> iš kurių suorganizu</w:t>
      </w:r>
      <w:r w:rsidR="00573D8D">
        <w:rPr>
          <w:bCs/>
        </w:rPr>
        <w:t>oti</w:t>
      </w:r>
      <w:r w:rsidR="00291D5A">
        <w:rPr>
          <w:bCs/>
        </w:rPr>
        <w:t xml:space="preserve"> 9</w:t>
      </w:r>
      <w:r w:rsidR="00A65B11" w:rsidRPr="00A65B11">
        <w:rPr>
          <w:bCs/>
        </w:rPr>
        <w:t xml:space="preserve"> renginiai</w:t>
      </w:r>
      <w:r w:rsidR="00DF69D7" w:rsidRPr="00573D8D">
        <w:rPr>
          <w:bCs/>
        </w:rPr>
        <w:t xml:space="preserve">. Projektinėje veikloje dalyvavusių asmenų skaičius yra </w:t>
      </w:r>
      <w:r w:rsidR="00573D8D" w:rsidRPr="00573D8D">
        <w:rPr>
          <w:bCs/>
        </w:rPr>
        <w:t>apie 650 (šeši šimtai penkiasdešimt</w:t>
      </w:r>
      <w:r w:rsidR="00DF69D7" w:rsidRPr="00573D8D">
        <w:rPr>
          <w:bCs/>
        </w:rPr>
        <w:t>).</w:t>
      </w:r>
    </w:p>
    <w:p w14:paraId="6334B5E5" w14:textId="6E1C07E7" w:rsidR="00DF69D7" w:rsidRPr="004B5358" w:rsidRDefault="00DF69D7" w:rsidP="00DF69D7">
      <w:pPr>
        <w:suppressAutoHyphens/>
        <w:autoSpaceDN w:val="0"/>
        <w:ind w:firstLine="1247"/>
        <w:jc w:val="both"/>
        <w:textAlignment w:val="baseline"/>
        <w:rPr>
          <w:bCs/>
        </w:rPr>
      </w:pPr>
      <w:r w:rsidRPr="004B5358">
        <w:rPr>
          <w:bCs/>
        </w:rPr>
        <w:t>Lėšų iš privačių rėmėjų Kultūros</w:t>
      </w:r>
      <w:r w:rsidR="00A65B11" w:rsidRPr="004B5358">
        <w:rPr>
          <w:bCs/>
        </w:rPr>
        <w:t xml:space="preserve"> centrui pavyko pritraukti 500</w:t>
      </w:r>
      <w:r w:rsidRPr="004B5358">
        <w:rPr>
          <w:bCs/>
        </w:rPr>
        <w:t xml:space="preserve"> Eur (</w:t>
      </w:r>
      <w:r w:rsidR="00A65B11" w:rsidRPr="004B5358">
        <w:rPr>
          <w:bCs/>
        </w:rPr>
        <w:t>penkis šimtus  eurų</w:t>
      </w:r>
      <w:r w:rsidRPr="004B5358">
        <w:rPr>
          <w:bCs/>
        </w:rPr>
        <w:t>)</w:t>
      </w:r>
      <w:r w:rsidR="00A65B11" w:rsidRPr="004B5358">
        <w:rPr>
          <w:bCs/>
        </w:rPr>
        <w:t>, kai kurie privatūs rėmėjai įsteigė prizus</w:t>
      </w:r>
      <w:r w:rsidRPr="004B5358">
        <w:rPr>
          <w:bCs/>
        </w:rPr>
        <w:t xml:space="preserve">. </w:t>
      </w:r>
    </w:p>
    <w:p w14:paraId="7833104B" w14:textId="66836F88" w:rsidR="00B56BDD" w:rsidRDefault="00DF69D7" w:rsidP="00DF69D7">
      <w:pPr>
        <w:suppressAutoHyphens/>
        <w:autoSpaceDN w:val="0"/>
        <w:ind w:firstLine="1247"/>
        <w:jc w:val="both"/>
        <w:textAlignment w:val="baseline"/>
        <w:rPr>
          <w:bCs/>
        </w:rPr>
      </w:pPr>
      <w:r w:rsidRPr="004049A8">
        <w:rPr>
          <w:b/>
          <w:bCs/>
        </w:rPr>
        <w:t>Pasiekimai ir apdovanojimai.</w:t>
      </w:r>
      <w:r>
        <w:rPr>
          <w:bCs/>
        </w:rPr>
        <w:t xml:space="preserve"> </w:t>
      </w:r>
      <w:r w:rsidR="00A97638">
        <w:rPr>
          <w:bCs/>
        </w:rPr>
        <w:t>Nors 2020 metai buvo pilni iššūkių, sukaustymų, tačiau vis</w:t>
      </w:r>
      <w:r w:rsidR="000A292D">
        <w:rPr>
          <w:bCs/>
        </w:rPr>
        <w:t xml:space="preserve"> </w:t>
      </w:r>
      <w:r w:rsidR="00A97638">
        <w:rPr>
          <w:bCs/>
        </w:rPr>
        <w:t>tiek turime kuo pasidžiaugti. Skuode vyko 30-oji etnoinstrumentologinė ekspedicija, kurios metu išklausyta daugiau kaip 40 li</w:t>
      </w:r>
      <w:r w:rsidR="00B970D5">
        <w:rPr>
          <w:bCs/>
        </w:rPr>
        <w:t>au</w:t>
      </w:r>
      <w:r w:rsidR="00C01BFA">
        <w:rPr>
          <w:bCs/>
        </w:rPr>
        <w:t>dies muzikantų, iš jų atrinkti 8</w:t>
      </w:r>
      <w:r w:rsidR="00B970D5">
        <w:rPr>
          <w:bCs/>
        </w:rPr>
        <w:t xml:space="preserve"> muzikantai</w:t>
      </w:r>
      <w:r w:rsidR="00A97638">
        <w:rPr>
          <w:bCs/>
        </w:rPr>
        <w:t xml:space="preserve"> ir įrašyta kompaktinė plokštelė „Skuodo kr</w:t>
      </w:r>
      <w:r w:rsidR="00B970D5">
        <w:rPr>
          <w:bCs/>
        </w:rPr>
        <w:t>ašto tradiciniai muzikantai“, kuri</w:t>
      </w:r>
      <w:r w:rsidR="00A97638">
        <w:rPr>
          <w:bCs/>
        </w:rPr>
        <w:t xml:space="preserve"> pristatyta metų pradžioje. </w:t>
      </w:r>
      <w:r w:rsidR="00F22E26">
        <w:rPr>
          <w:bCs/>
        </w:rPr>
        <w:t>Taip pat  išleista ir turėjo būti pristatyta liaudiškos muzikos kapelos „Bartuva“ kompaktinė plokštelė „Esame skuodiškiai“, tik dėl pandemijos nukelta į 2021 metus.</w:t>
      </w:r>
    </w:p>
    <w:p w14:paraId="5A0501FC" w14:textId="2AAC8309" w:rsidR="00493EC7" w:rsidRDefault="00493EC7" w:rsidP="00F85492">
      <w:pPr>
        <w:suppressAutoHyphens/>
        <w:autoSpaceDN w:val="0"/>
        <w:ind w:firstLine="1247"/>
        <w:jc w:val="both"/>
        <w:textAlignment w:val="baseline"/>
        <w:rPr>
          <w:bCs/>
        </w:rPr>
      </w:pPr>
      <w:r>
        <w:rPr>
          <w:bCs/>
        </w:rPr>
        <w:t>Paskelbus šalyje karanti</w:t>
      </w:r>
      <w:r w:rsidR="00C01BFA">
        <w:rPr>
          <w:bCs/>
        </w:rPr>
        <w:t xml:space="preserve">ną, Kultūros centras savo veiklą perkėlė į socialinį tinklą „Facebook“. Ne tik neleido užmiršti tradicinių švenčių, </w:t>
      </w:r>
      <w:r w:rsidR="005023FC">
        <w:rPr>
          <w:bCs/>
        </w:rPr>
        <w:t xml:space="preserve">kvietė dalyvauti atrakcijose, konkursuose, viktorinose, videokoncertuose, virtualiose parodose, </w:t>
      </w:r>
      <w:r w:rsidR="00C01BFA">
        <w:rPr>
          <w:bCs/>
        </w:rPr>
        <w:t>tačiau buvo įgyvendinti</w:t>
      </w:r>
      <w:r w:rsidR="005023FC">
        <w:rPr>
          <w:bCs/>
        </w:rPr>
        <w:t xml:space="preserve"> kūrybiniai projektai</w:t>
      </w:r>
      <w:r w:rsidR="00C01BFA">
        <w:rPr>
          <w:bCs/>
        </w:rPr>
        <w:t xml:space="preserve">, kurie sulaukė </w:t>
      </w:r>
      <w:r w:rsidR="00C53C6F">
        <w:rPr>
          <w:bCs/>
        </w:rPr>
        <w:t xml:space="preserve">ne tik </w:t>
      </w:r>
      <w:r w:rsidR="00C01BFA">
        <w:rPr>
          <w:bCs/>
        </w:rPr>
        <w:t>gausių peržiūrų</w:t>
      </w:r>
      <w:r w:rsidR="00C53C6F">
        <w:rPr>
          <w:bCs/>
        </w:rPr>
        <w:t>, bet ir turi didžiulę išliekamąją vertę</w:t>
      </w:r>
      <w:r w:rsidR="00C01BFA">
        <w:rPr>
          <w:bCs/>
        </w:rPr>
        <w:t>.</w:t>
      </w:r>
      <w:r w:rsidR="005023FC">
        <w:rPr>
          <w:bCs/>
        </w:rPr>
        <w:t xml:space="preserve"> Nuo balandžio mėnesio pradėtas</w:t>
      </w:r>
      <w:r w:rsidR="00927419">
        <w:rPr>
          <w:bCs/>
        </w:rPr>
        <w:t xml:space="preserve"> ir vis dar vyksta</w:t>
      </w:r>
      <w:r w:rsidR="005023FC">
        <w:rPr>
          <w:bCs/>
        </w:rPr>
        <w:t xml:space="preserve"> videorenginių ciklas „Kultūriniai susitikimai“ </w:t>
      </w:r>
      <w:r w:rsidR="00C44824">
        <w:rPr>
          <w:bCs/>
        </w:rPr>
        <w:t>su mūsų kraštiečiais, kurių metu</w:t>
      </w:r>
      <w:r w:rsidR="005023FC">
        <w:rPr>
          <w:bCs/>
        </w:rPr>
        <w:t xml:space="preserve"> kalbinami iš Skuodo krašto kilę garsūs mūsų žmonės</w:t>
      </w:r>
      <w:r w:rsidR="00C44824">
        <w:rPr>
          <w:bCs/>
        </w:rPr>
        <w:t>. Į iniciatyvą įjungiami ir ištikimi mūsų žiūrovai, lankytojai, o ir patys pokalbio dalyviai dovanoja savo programas žiūrintiems.</w:t>
      </w:r>
      <w:r w:rsidR="00927419">
        <w:rPr>
          <w:bCs/>
        </w:rPr>
        <w:t xml:space="preserve"> Taip pat</w:t>
      </w:r>
      <w:r w:rsidR="00F85492">
        <w:rPr>
          <w:bCs/>
        </w:rPr>
        <w:t xml:space="preserve"> sukurtas orientavimosi žaidimas „Pirmyn po Skuodą“, kuris pritraukė daug jaunimo. Įgyvendinta videorubrika „Atrask iš naujo!“, kurių metu pristatyti </w:t>
      </w:r>
      <w:r w:rsidR="00742086">
        <w:rPr>
          <w:bCs/>
        </w:rPr>
        <w:t>K</w:t>
      </w:r>
      <w:r w:rsidR="00F85492">
        <w:rPr>
          <w:bCs/>
        </w:rPr>
        <w:t>ultūros centro skyriai, jų darbas, veikla, užsiėmimai plačiąj</w:t>
      </w:r>
      <w:r w:rsidR="00742086">
        <w:rPr>
          <w:bCs/>
        </w:rPr>
        <w:t>a</w:t>
      </w:r>
      <w:r w:rsidR="00F85492">
        <w:rPr>
          <w:bCs/>
        </w:rPr>
        <w:t xml:space="preserve"> prasme, supažindinta su seniūnijų lankytinomis vietomis, svarbiais objektais</w:t>
      </w:r>
      <w:r w:rsidR="00EB6CA9">
        <w:rPr>
          <w:bCs/>
        </w:rPr>
        <w:t>, žmonėmis</w:t>
      </w:r>
      <w:r w:rsidR="00F85492">
        <w:rPr>
          <w:bCs/>
        </w:rPr>
        <w:t xml:space="preserve">.  </w:t>
      </w:r>
    </w:p>
    <w:p w14:paraId="0D29FA64" w14:textId="2AF77356" w:rsidR="00927419" w:rsidRDefault="00DF69D7" w:rsidP="00B14388">
      <w:pPr>
        <w:suppressAutoHyphens/>
        <w:autoSpaceDN w:val="0"/>
        <w:ind w:firstLine="1247"/>
        <w:jc w:val="both"/>
        <w:textAlignment w:val="baseline"/>
        <w:rPr>
          <w:bCs/>
        </w:rPr>
      </w:pPr>
      <w:r w:rsidRPr="00F84E50">
        <w:rPr>
          <w:bCs/>
        </w:rPr>
        <w:t xml:space="preserve">Kultūros centras ir jo kolektyvai yra populiarūs, ryškūs ne tik Lietuvoje, bet ir užsienyje. </w:t>
      </w:r>
      <w:r w:rsidR="00F84E50" w:rsidRPr="00F84E50">
        <w:rPr>
          <w:bCs/>
        </w:rPr>
        <w:t>Štai v</w:t>
      </w:r>
      <w:r w:rsidR="0069785E" w:rsidRPr="00F84E50">
        <w:rPr>
          <w:bCs/>
        </w:rPr>
        <w:t>asario 19–28</w:t>
      </w:r>
      <w:r w:rsidRPr="00F84E50">
        <w:rPr>
          <w:bCs/>
        </w:rPr>
        <w:t xml:space="preserve"> dienomis Skuodo rajono kultūros centro liaudiškos muzikos kapela „Bartuva“ (vad. Vidmantas Valinskis) kartu su Mažeikių choreografijos </w:t>
      </w:r>
      <w:r w:rsidRPr="0069785E">
        <w:rPr>
          <w:bCs/>
        </w:rPr>
        <w:t>mokyklos tautinių šokių ansambliu „Kauškutis“ (va</w:t>
      </w:r>
      <w:r w:rsidR="0069785E" w:rsidRPr="0069785E">
        <w:rPr>
          <w:bCs/>
        </w:rPr>
        <w:t>d. Jolanta Tendienė) dalyvavo</w:t>
      </w:r>
      <w:r w:rsidRPr="0069785E">
        <w:rPr>
          <w:bCs/>
        </w:rPr>
        <w:t xml:space="preserve"> tarptautiniame </w:t>
      </w:r>
      <w:r w:rsidR="0069785E">
        <w:rPr>
          <w:bCs/>
        </w:rPr>
        <w:t>festivalyje Graikijoje, Salonikų mieste</w:t>
      </w:r>
      <w:r w:rsidRPr="0069785E">
        <w:rPr>
          <w:bCs/>
        </w:rPr>
        <w:t>.</w:t>
      </w:r>
      <w:r w:rsidRPr="00B808AB">
        <w:rPr>
          <w:bCs/>
          <w:color w:val="FF0000"/>
        </w:rPr>
        <w:t xml:space="preserve"> </w:t>
      </w:r>
      <w:r w:rsidR="003C1D2C" w:rsidRPr="003C1D2C">
        <w:rPr>
          <w:bCs/>
        </w:rPr>
        <w:t xml:space="preserve">Rugsėjo 12 d. liaudiškos muzikos kapela „Bartuva“ dalyvavo </w:t>
      </w:r>
      <w:r w:rsidR="00F84E50">
        <w:rPr>
          <w:bCs/>
        </w:rPr>
        <w:t xml:space="preserve">ir pasirodė su programa </w:t>
      </w:r>
      <w:r w:rsidR="003C1D2C" w:rsidRPr="003C1D2C">
        <w:rPr>
          <w:bCs/>
        </w:rPr>
        <w:t xml:space="preserve">LRT laidoje „Duokim garo“. </w:t>
      </w:r>
      <w:r w:rsidR="00F84E50">
        <w:rPr>
          <w:bCs/>
        </w:rPr>
        <w:t>Rugsėjo 19 d. Skuodo rajono kultūros centro Barstyčių skyriaus folkloro ansamblis „Barstītē“ ir liaudiškos muzikos kapela „En par kūna“ koncertavo Tautų mugėje, Vilniuje.</w:t>
      </w:r>
      <w:r w:rsidR="00690225">
        <w:rPr>
          <w:bCs/>
        </w:rPr>
        <w:t xml:space="preserve"> Be to, kolektyvai bendradarbiavo, keitėsi programomis, padėjo įgyvendinti iniciatyvas su Mažeikių, Klaipėdos, Akmenės rajono ir Plungės rajono įstaigomis bei kolektyvais. </w:t>
      </w:r>
      <w:r w:rsidR="00F84E50">
        <w:rPr>
          <w:bCs/>
        </w:rPr>
        <w:t xml:space="preserve"> </w:t>
      </w:r>
      <w:r w:rsidR="00927419">
        <w:rPr>
          <w:bCs/>
        </w:rPr>
        <w:t xml:space="preserve">Metų pabaigoje </w:t>
      </w:r>
      <w:r w:rsidR="00472948">
        <w:rPr>
          <w:bCs/>
        </w:rPr>
        <w:t xml:space="preserve">pabandyta suburti naują mėgėjų meno kolektyvą – vyresniųjų liaudiškų šokių grupę.  </w:t>
      </w:r>
      <w:r w:rsidR="00E17010">
        <w:rPr>
          <w:bCs/>
        </w:rPr>
        <w:t>Džiugu, jog s</w:t>
      </w:r>
      <w:r w:rsidR="00472948">
        <w:rPr>
          <w:bCs/>
        </w:rPr>
        <w:t>ulaukta ne mažai naujų dalyvių, norinčių prisijungti į veiklą. Pirmasis pasiro</w:t>
      </w:r>
      <w:r w:rsidR="00E17010">
        <w:rPr>
          <w:bCs/>
        </w:rPr>
        <w:t>dymas ir žinia apie naują kolektyvą išėjo lapkričio mėnesį, kai kolektyvas išmoko šokį himnui, kuris buvo sukurtas sujungti penkiems kontinentams prieš COVID-19</w:t>
      </w:r>
      <w:r w:rsidR="00A8334F">
        <w:rPr>
          <w:bCs/>
        </w:rPr>
        <w:t>,</w:t>
      </w:r>
      <w:r w:rsidR="00320E69">
        <w:rPr>
          <w:bCs/>
        </w:rPr>
        <w:t xml:space="preserve"> bei jį šoka visas pasaulis</w:t>
      </w:r>
      <w:r w:rsidR="00E17010">
        <w:rPr>
          <w:bCs/>
        </w:rPr>
        <w:t xml:space="preserve">. </w:t>
      </w:r>
      <w:r w:rsidR="00472948">
        <w:rPr>
          <w:bCs/>
        </w:rPr>
        <w:t xml:space="preserve"> </w:t>
      </w:r>
    </w:p>
    <w:p w14:paraId="1E7779A4" w14:textId="77777777" w:rsidR="00DF69D7" w:rsidRPr="00EF59AA" w:rsidRDefault="00DF69D7" w:rsidP="00DF69D7">
      <w:pPr>
        <w:suppressAutoHyphens/>
        <w:autoSpaceDN w:val="0"/>
        <w:ind w:firstLine="1247"/>
        <w:jc w:val="both"/>
        <w:textAlignment w:val="baseline"/>
        <w:rPr>
          <w:bCs/>
        </w:rPr>
      </w:pPr>
      <w:r w:rsidRPr="00EF59AA">
        <w:rPr>
          <w:bCs/>
        </w:rPr>
        <w:t>Taigi, Kultūros centro ir jo darbuo</w:t>
      </w:r>
      <w:r w:rsidR="00EF59AA">
        <w:rPr>
          <w:bCs/>
        </w:rPr>
        <w:t>tojų, kolektyvų, meno vadovų įdi</w:t>
      </w:r>
      <w:r w:rsidRPr="00EF59AA">
        <w:rPr>
          <w:bCs/>
        </w:rPr>
        <w:t>rbio dėka Skuodo krašto vardas išdidžiai skamba ne tik Lietuvoje, bet ir užsienyje.</w:t>
      </w:r>
      <w:r w:rsidR="00EF59AA">
        <w:rPr>
          <w:bCs/>
        </w:rPr>
        <w:t xml:space="preserve"> Net ir pandemijos akivaizdoje mūsų įstaiga savo veikla skatino neužmiršti tradicijų, kvietė aktyviai dalyvauti siūlomose veiklose, sąžiningai skleidė kultūros šviesą,</w:t>
      </w:r>
      <w:r w:rsidR="00D85C58">
        <w:rPr>
          <w:bCs/>
        </w:rPr>
        <w:t xml:space="preserve"> pozityvumą ir</w:t>
      </w:r>
      <w:r w:rsidR="00EF59AA">
        <w:rPr>
          <w:bCs/>
        </w:rPr>
        <w:t xml:space="preserve"> gerą nuotaiką. </w:t>
      </w:r>
    </w:p>
    <w:p w14:paraId="68823B9A" w14:textId="243D99A2" w:rsidR="00A930F6" w:rsidRDefault="00DF69D7" w:rsidP="00DF69D7">
      <w:pPr>
        <w:suppressAutoHyphens/>
        <w:autoSpaceDN w:val="0"/>
        <w:ind w:firstLine="1247"/>
        <w:jc w:val="both"/>
        <w:textAlignment w:val="baseline"/>
        <w:rPr>
          <w:bCs/>
        </w:rPr>
      </w:pPr>
      <w:r w:rsidRPr="00A069F3">
        <w:rPr>
          <w:b/>
          <w:bCs/>
        </w:rPr>
        <w:t>Pastabos, problemos ir pasiūlymai</w:t>
      </w:r>
      <w:r>
        <w:rPr>
          <w:bCs/>
        </w:rPr>
        <w:t xml:space="preserve">. </w:t>
      </w:r>
      <w:r w:rsidRPr="00EF1D06">
        <w:rPr>
          <w:bCs/>
        </w:rPr>
        <w:t xml:space="preserve">Neišspręstas lieka Kultūros centro patalpų klausimas. Kolektyvai neturi, kur repetuoti. Kiekvienais metais akcentuojama, kad Skuodo rajono </w:t>
      </w:r>
      <w:r w:rsidR="00A8334F">
        <w:rPr>
          <w:bCs/>
        </w:rPr>
        <w:t>K</w:t>
      </w:r>
      <w:r w:rsidRPr="00EF1D06">
        <w:rPr>
          <w:bCs/>
        </w:rPr>
        <w:t>ultūros centre yra  tik vienas repeticijų kabinetas. Laukiama antro aukšto dalies patalpų</w:t>
      </w:r>
      <w:r w:rsidRPr="00DD300B">
        <w:rPr>
          <w:bCs/>
        </w:rPr>
        <w:t xml:space="preserve">.  Taip pat </w:t>
      </w:r>
      <w:r w:rsidR="00EF1D06" w:rsidRPr="00DD300B">
        <w:rPr>
          <w:bCs/>
        </w:rPr>
        <w:t>Kultūros centro skyriuose trūksta garso aparatūros, dėl jos darbuotojai negali deramai ruoštis renginiams bei užtikrinti jų kokybės. Skuodo rajono savivaldybės merui yra pate</w:t>
      </w:r>
      <w:r w:rsidR="00DD300B" w:rsidRPr="00DD300B">
        <w:rPr>
          <w:bCs/>
        </w:rPr>
        <w:t>iktas prašymas su kainomis, kuriame prašoma</w:t>
      </w:r>
      <w:r w:rsidR="00EF1D06" w:rsidRPr="00DD300B">
        <w:rPr>
          <w:bCs/>
        </w:rPr>
        <w:t xml:space="preserve"> skirti 9</w:t>
      </w:r>
      <w:r w:rsidR="00A8334F">
        <w:rPr>
          <w:bCs/>
        </w:rPr>
        <w:t xml:space="preserve"> </w:t>
      </w:r>
      <w:r w:rsidR="00EF1D06" w:rsidRPr="00DD300B">
        <w:rPr>
          <w:bCs/>
        </w:rPr>
        <w:t>600</w:t>
      </w:r>
      <w:r w:rsidR="00DD300B" w:rsidRPr="00DD300B">
        <w:rPr>
          <w:bCs/>
        </w:rPr>
        <w:t xml:space="preserve"> Eur garso aparatūrai</w:t>
      </w:r>
      <w:r w:rsidR="00EF1D06" w:rsidRPr="00DD300B">
        <w:rPr>
          <w:bCs/>
        </w:rPr>
        <w:t xml:space="preserve"> (būtų įsigyti 2 komplektai aparatūros Barstyčiams ir Šatėms bei</w:t>
      </w:r>
      <w:r w:rsidR="00DD300B" w:rsidRPr="00DD300B">
        <w:rPr>
          <w:bCs/>
        </w:rPr>
        <w:t xml:space="preserve"> trūkstamo įgarsinimo inventoriaus</w:t>
      </w:r>
      <w:r w:rsidR="00EF1D06" w:rsidRPr="00DD300B">
        <w:rPr>
          <w:bCs/>
        </w:rPr>
        <w:t xml:space="preserve"> kitiems skyriams).</w:t>
      </w:r>
      <w:r w:rsidR="00DD300B" w:rsidRPr="00DD300B">
        <w:rPr>
          <w:bCs/>
        </w:rPr>
        <w:t xml:space="preserve"> </w:t>
      </w:r>
    </w:p>
    <w:p w14:paraId="67357788" w14:textId="680BD4A2" w:rsidR="00DF69D7" w:rsidRPr="00B808AB" w:rsidRDefault="00DD300B" w:rsidP="00DF69D7">
      <w:pPr>
        <w:suppressAutoHyphens/>
        <w:autoSpaceDN w:val="0"/>
        <w:ind w:firstLine="1247"/>
        <w:jc w:val="both"/>
        <w:textAlignment w:val="baseline"/>
        <w:rPr>
          <w:bCs/>
          <w:color w:val="FF0000"/>
        </w:rPr>
      </w:pPr>
      <w:r w:rsidRPr="00DD300B">
        <w:rPr>
          <w:bCs/>
        </w:rPr>
        <w:t>Kultūros centro organizuojamų renginių įvaizdį pagerintų ir išlaidas sumažintų,</w:t>
      </w:r>
      <w:r w:rsidR="00CA217F">
        <w:rPr>
          <w:bCs/>
        </w:rPr>
        <w:t xml:space="preserve"> jeigu būtų skirta lėšų</w:t>
      </w:r>
      <w:r w:rsidRPr="00DD300B">
        <w:rPr>
          <w:bCs/>
        </w:rPr>
        <w:t xml:space="preserve"> scenos pakylai</w:t>
      </w:r>
      <w:r w:rsidR="00A930F6">
        <w:rPr>
          <w:bCs/>
        </w:rPr>
        <w:t xml:space="preserve"> įsigyti</w:t>
      </w:r>
      <w:r w:rsidRPr="00DD300B">
        <w:rPr>
          <w:bCs/>
        </w:rPr>
        <w:t>, kurios komercinis pasiūlymas su prašymu taip pat buvo pateiktas Sku</w:t>
      </w:r>
      <w:r w:rsidR="00A930F6">
        <w:rPr>
          <w:bCs/>
        </w:rPr>
        <w:t>odo rajono savivaldybės merui,</w:t>
      </w:r>
      <w:r w:rsidRPr="00DD300B">
        <w:rPr>
          <w:bCs/>
        </w:rPr>
        <w:t xml:space="preserve"> administracijos direktoriui</w:t>
      </w:r>
      <w:r w:rsidR="00A930F6">
        <w:rPr>
          <w:bCs/>
        </w:rPr>
        <w:t xml:space="preserve"> ir tarybai</w:t>
      </w:r>
      <w:r w:rsidRPr="00DD300B">
        <w:rPr>
          <w:bCs/>
        </w:rPr>
        <w:t>. Kaina – 5</w:t>
      </w:r>
      <w:r w:rsidR="00A8334F">
        <w:rPr>
          <w:bCs/>
        </w:rPr>
        <w:t xml:space="preserve"> </w:t>
      </w:r>
      <w:r w:rsidRPr="00DD300B">
        <w:rPr>
          <w:bCs/>
        </w:rPr>
        <w:t xml:space="preserve">000 Eur. </w:t>
      </w:r>
    </w:p>
    <w:p w14:paraId="09378E87" w14:textId="0C661F21" w:rsidR="00DF69D7" w:rsidRPr="007F0762" w:rsidRDefault="00DF69D7" w:rsidP="00DF69D7">
      <w:pPr>
        <w:suppressAutoHyphens/>
        <w:autoSpaceDN w:val="0"/>
        <w:ind w:firstLine="1247"/>
        <w:jc w:val="both"/>
        <w:textAlignment w:val="baseline"/>
        <w:rPr>
          <w:bCs/>
        </w:rPr>
      </w:pPr>
      <w:r w:rsidRPr="007F0762">
        <w:rPr>
          <w:bCs/>
        </w:rPr>
        <w:lastRenderedPageBreak/>
        <w:t>Trūksta investicinių</w:t>
      </w:r>
      <w:r w:rsidR="00A930F6" w:rsidRPr="007F0762">
        <w:rPr>
          <w:bCs/>
        </w:rPr>
        <w:t xml:space="preserve"> lėšų</w:t>
      </w:r>
      <w:r w:rsidRPr="007F0762">
        <w:rPr>
          <w:bCs/>
        </w:rPr>
        <w:t xml:space="preserve"> </w:t>
      </w:r>
      <w:r w:rsidR="00A930F6" w:rsidRPr="007F0762">
        <w:rPr>
          <w:bCs/>
        </w:rPr>
        <w:t xml:space="preserve">Kultūros centro ir jo skyrių </w:t>
      </w:r>
      <w:r w:rsidRPr="007F0762">
        <w:rPr>
          <w:bCs/>
        </w:rPr>
        <w:t>remontams</w:t>
      </w:r>
      <w:r w:rsidR="00A930F6" w:rsidRPr="007F0762">
        <w:rPr>
          <w:bCs/>
        </w:rPr>
        <w:t>. Reikalingos šios lėšos: Kultūros centro  (Gedimino g. 1, Skuodas) 3-jų įėjimų laiptų kapitaliniam remontui ir vidinio kiemo asfalto dangos atnaujinimui; Kultūros centro Barstyčių skyriui (Salantų g. 14, Barstyčiai) koncertinės salės grindų ir sienų atnaujinimui; Kultūros centro Ylakių skyriui (Sedos g. 1, Ylakiai) koridorių sienų atnaujinimui; Kultūros centro Lenkimų skyriui (S. Daukanto g. 59, Lenkimai) scenos grindų atnaujinimui. Skyrus lėšų, kai kuriuos darb</w:t>
      </w:r>
      <w:r w:rsidR="00A8334F">
        <w:rPr>
          <w:bCs/>
        </w:rPr>
        <w:t>u</w:t>
      </w:r>
      <w:r w:rsidR="00A930F6" w:rsidRPr="007F0762">
        <w:rPr>
          <w:bCs/>
        </w:rPr>
        <w:t xml:space="preserve">s būtų galima atlikti ir savo jėgomis. Prašymas pateiktas Skuodo rajono savivaldybės administracijos direktoriui ir </w:t>
      </w:r>
      <w:r w:rsidR="00A8334F">
        <w:rPr>
          <w:bCs/>
        </w:rPr>
        <w:t>V</w:t>
      </w:r>
      <w:r w:rsidR="00A930F6" w:rsidRPr="007F0762">
        <w:rPr>
          <w:bCs/>
        </w:rPr>
        <w:t>ietinio ūkio ir investicijų skyriaus vedėjui.</w:t>
      </w:r>
      <w:r w:rsidRPr="007F0762">
        <w:rPr>
          <w:bCs/>
        </w:rPr>
        <w:t xml:space="preserve"> Nuo to priklauso ir renginių kokybė, ir įstaigos įvaizdis atvykstantiems svečiams, renginių lankytojams bei dalyviams. </w:t>
      </w:r>
    </w:p>
    <w:p w14:paraId="336376A8" w14:textId="77777777" w:rsidR="00377A50" w:rsidRPr="006713E2" w:rsidRDefault="00377A50" w:rsidP="00377A50">
      <w:pPr>
        <w:suppressAutoHyphens/>
        <w:autoSpaceDN w:val="0"/>
        <w:jc w:val="both"/>
        <w:textAlignment w:val="baseline"/>
      </w:pPr>
    </w:p>
    <w:p w14:paraId="09CBEBEB" w14:textId="77777777" w:rsidR="00377A50" w:rsidRPr="006713E2" w:rsidRDefault="00377A50" w:rsidP="00377A50">
      <w:pPr>
        <w:suppressAutoHyphens/>
        <w:autoSpaceDN w:val="0"/>
        <w:jc w:val="center"/>
        <w:textAlignment w:val="baseline"/>
        <w:rPr>
          <w:b/>
        </w:rPr>
      </w:pPr>
      <w:r w:rsidRPr="006713E2">
        <w:rPr>
          <w:b/>
        </w:rPr>
        <w:t>I SKYRIUS</w:t>
      </w:r>
    </w:p>
    <w:p w14:paraId="6F264486" w14:textId="77777777" w:rsidR="00377A50" w:rsidRDefault="00377A50" w:rsidP="00377A50">
      <w:pPr>
        <w:suppressAutoHyphens/>
        <w:autoSpaceDN w:val="0"/>
        <w:jc w:val="center"/>
        <w:textAlignment w:val="baseline"/>
        <w:rPr>
          <w:b/>
        </w:rPr>
      </w:pPr>
      <w:r w:rsidRPr="006713E2">
        <w:rPr>
          <w:b/>
        </w:rPr>
        <w:t>STRATEGINIO VEIKLOS PLANO ĮGYVENDINIMAS</w:t>
      </w:r>
    </w:p>
    <w:p w14:paraId="2A1FC4B0" w14:textId="77777777" w:rsidR="00BA3ABF" w:rsidRPr="00C706C8" w:rsidRDefault="00BA3ABF" w:rsidP="00377A50">
      <w:pPr>
        <w:suppressAutoHyphens/>
        <w:autoSpaceDN w:val="0"/>
        <w:jc w:val="center"/>
        <w:textAlignment w:val="baseline"/>
        <w:rPr>
          <w:b/>
          <w:sz w:val="14"/>
        </w:rPr>
      </w:pPr>
    </w:p>
    <w:p w14:paraId="1FC95F18" w14:textId="77777777" w:rsidR="00463E79" w:rsidRPr="00463E79" w:rsidRDefault="00463E79" w:rsidP="00463E79">
      <w:pPr>
        <w:suppressAutoHyphens/>
        <w:autoSpaceDN w:val="0"/>
        <w:ind w:firstLine="1247"/>
        <w:jc w:val="both"/>
        <w:textAlignment w:val="baseline"/>
        <w:rPr>
          <w:bCs/>
        </w:rPr>
      </w:pPr>
      <w:r w:rsidRPr="00463E79">
        <w:rPr>
          <w:bCs/>
        </w:rPr>
        <w:t>Skuo</w:t>
      </w:r>
      <w:r>
        <w:rPr>
          <w:bCs/>
        </w:rPr>
        <w:t>do rajono kultūros centras, įgyvendindamas</w:t>
      </w:r>
      <w:r w:rsidRPr="00463E79">
        <w:rPr>
          <w:bCs/>
        </w:rPr>
        <w:t xml:space="preserve"> Skuodo rajono savivaldybės tarybos 2020 m. sausio 30 d. patvirtintą 2020–2022 metų strateginio veiklos planą ir priemones,</w:t>
      </w:r>
      <w:r w:rsidR="005444AC" w:rsidRPr="005444AC">
        <w:t xml:space="preserve"> </w:t>
      </w:r>
      <w:r w:rsidR="005444AC">
        <w:t xml:space="preserve">pagal numatytą strateginį tikslą – </w:t>
      </w:r>
      <w:r w:rsidR="005444AC">
        <w:rPr>
          <w:bCs/>
        </w:rPr>
        <w:t>u</w:t>
      </w:r>
      <w:r w:rsidR="005444AC" w:rsidRPr="005444AC">
        <w:rPr>
          <w:bCs/>
        </w:rPr>
        <w:t>žtikrinti aukštą teikiamų viešųjų paslaugų kokybę ir prieinamumą</w:t>
      </w:r>
      <w:r w:rsidR="005444AC">
        <w:rPr>
          <w:bCs/>
        </w:rPr>
        <w:t xml:space="preserve"> –</w:t>
      </w:r>
      <w:r w:rsidRPr="00463E79">
        <w:rPr>
          <w:bCs/>
        </w:rPr>
        <w:t xml:space="preserve"> </w:t>
      </w:r>
      <w:r>
        <w:rPr>
          <w:bCs/>
        </w:rPr>
        <w:t xml:space="preserve">orientuoja veiklą </w:t>
      </w:r>
      <w:r w:rsidR="00940D22">
        <w:rPr>
          <w:bCs/>
        </w:rPr>
        <w:t xml:space="preserve">bei </w:t>
      </w:r>
      <w:r w:rsidR="005E7894">
        <w:rPr>
          <w:bCs/>
        </w:rPr>
        <w:t>vykdo</w:t>
      </w:r>
      <w:r>
        <w:rPr>
          <w:bCs/>
        </w:rPr>
        <w:t xml:space="preserve"> šiuos numatytus</w:t>
      </w:r>
      <w:r w:rsidR="005444AC">
        <w:rPr>
          <w:bCs/>
        </w:rPr>
        <w:t xml:space="preserve"> programos</w:t>
      </w:r>
      <w:r>
        <w:rPr>
          <w:bCs/>
        </w:rPr>
        <w:t xml:space="preserve"> tikslus ir uždavinius</w:t>
      </w:r>
      <w:r w:rsidRPr="00463E79">
        <w:rPr>
          <w:bCs/>
        </w:rPr>
        <w:t>:</w:t>
      </w:r>
    </w:p>
    <w:p w14:paraId="0B51D651" w14:textId="44C4DC1A" w:rsidR="00463E79" w:rsidRPr="00463E79" w:rsidRDefault="00403193" w:rsidP="00463E79">
      <w:pPr>
        <w:suppressAutoHyphens/>
        <w:autoSpaceDN w:val="0"/>
        <w:ind w:firstLine="1247"/>
        <w:jc w:val="both"/>
        <w:textAlignment w:val="baseline"/>
        <w:rPr>
          <w:bCs/>
        </w:rPr>
      </w:pPr>
      <w:r>
        <w:rPr>
          <w:bCs/>
        </w:rPr>
        <w:t>1. Skatina</w:t>
      </w:r>
      <w:r w:rsidR="00463E79" w:rsidRPr="00463E79">
        <w:rPr>
          <w:bCs/>
        </w:rPr>
        <w:t xml:space="preserve"> kultūrinę veiklą ir jos sklaidą Skuodo rajone</w:t>
      </w:r>
      <w:r w:rsidR="00A8334F">
        <w:rPr>
          <w:bCs/>
        </w:rPr>
        <w:t>:</w:t>
      </w:r>
      <w:r w:rsidR="00463E79" w:rsidRPr="00463E79">
        <w:rPr>
          <w:bCs/>
        </w:rPr>
        <w:t xml:space="preserve"> </w:t>
      </w:r>
    </w:p>
    <w:p w14:paraId="5D97968C" w14:textId="6475AD59" w:rsidR="00463E79" w:rsidRPr="00463E79" w:rsidRDefault="00403193" w:rsidP="00463E79">
      <w:pPr>
        <w:suppressAutoHyphens/>
        <w:autoSpaceDN w:val="0"/>
        <w:ind w:firstLine="1247"/>
        <w:jc w:val="both"/>
        <w:textAlignment w:val="baseline"/>
        <w:rPr>
          <w:bCs/>
        </w:rPr>
      </w:pPr>
      <w:r>
        <w:rPr>
          <w:bCs/>
        </w:rPr>
        <w:t xml:space="preserve">1.1. </w:t>
      </w:r>
      <w:r w:rsidR="00A8334F">
        <w:rPr>
          <w:bCs/>
        </w:rPr>
        <w:t>s</w:t>
      </w:r>
      <w:r>
        <w:rPr>
          <w:bCs/>
        </w:rPr>
        <w:t>katina ir remia</w:t>
      </w:r>
      <w:r w:rsidR="00463E79" w:rsidRPr="00463E79">
        <w:rPr>
          <w:bCs/>
        </w:rPr>
        <w:t xml:space="preserve"> profesionalaus ir mėgėjų</w:t>
      </w:r>
      <w:r>
        <w:rPr>
          <w:bCs/>
        </w:rPr>
        <w:t xml:space="preserve"> meno sklaidą, didina</w:t>
      </w:r>
      <w:r w:rsidR="00463E79" w:rsidRPr="00463E79">
        <w:rPr>
          <w:bCs/>
        </w:rPr>
        <w:t xml:space="preserve"> kultūros prieinamumą</w:t>
      </w:r>
      <w:r w:rsidR="00A8334F">
        <w:rPr>
          <w:bCs/>
        </w:rPr>
        <w:t>.</w:t>
      </w:r>
    </w:p>
    <w:p w14:paraId="1B7770BF" w14:textId="11880C79" w:rsidR="00463E79" w:rsidRPr="00463E79" w:rsidRDefault="00403193" w:rsidP="00463E79">
      <w:pPr>
        <w:suppressAutoHyphens/>
        <w:autoSpaceDN w:val="0"/>
        <w:ind w:firstLine="1247"/>
        <w:jc w:val="both"/>
        <w:textAlignment w:val="baseline"/>
        <w:rPr>
          <w:bCs/>
        </w:rPr>
      </w:pPr>
      <w:r>
        <w:rPr>
          <w:bCs/>
        </w:rPr>
        <w:t>2. Skatina</w:t>
      </w:r>
      <w:r w:rsidR="00463E79" w:rsidRPr="00463E79">
        <w:rPr>
          <w:bCs/>
        </w:rPr>
        <w:t xml:space="preserve"> tarprajoninį ir tarpvalstybinį bendradarbiavimą socialinėje, ekonominėje, kultūrinėje, sportinėje ir turizmo srityse</w:t>
      </w:r>
      <w:r w:rsidR="00A8334F">
        <w:rPr>
          <w:bCs/>
        </w:rPr>
        <w:t>:</w:t>
      </w:r>
    </w:p>
    <w:p w14:paraId="502D1AD7" w14:textId="2B5328F8" w:rsidR="00463E79" w:rsidRPr="00463E79" w:rsidRDefault="00403193" w:rsidP="00463E79">
      <w:pPr>
        <w:suppressAutoHyphens/>
        <w:autoSpaceDN w:val="0"/>
        <w:ind w:firstLine="1247"/>
        <w:jc w:val="both"/>
        <w:textAlignment w:val="baseline"/>
        <w:rPr>
          <w:bCs/>
        </w:rPr>
      </w:pPr>
      <w:r>
        <w:rPr>
          <w:bCs/>
        </w:rPr>
        <w:t xml:space="preserve">2.1. </w:t>
      </w:r>
      <w:r w:rsidR="00A8334F">
        <w:rPr>
          <w:bCs/>
        </w:rPr>
        <w:t>k</w:t>
      </w:r>
      <w:r>
        <w:rPr>
          <w:bCs/>
        </w:rPr>
        <w:t>uria</w:t>
      </w:r>
      <w:r w:rsidR="00463E79" w:rsidRPr="00463E79">
        <w:rPr>
          <w:bCs/>
        </w:rPr>
        <w:t xml:space="preserve"> palankias sąlygas įmonių, organizacijų bendravimui ir keitimuisi patirtimi su kitų rajonų ir šalių organizacijomis.</w:t>
      </w:r>
    </w:p>
    <w:p w14:paraId="6D6B8092" w14:textId="77777777" w:rsidR="00463E79" w:rsidRPr="00463E79" w:rsidRDefault="00463E79" w:rsidP="00463E79">
      <w:pPr>
        <w:suppressAutoHyphens/>
        <w:autoSpaceDN w:val="0"/>
        <w:ind w:firstLine="1247"/>
        <w:jc w:val="both"/>
        <w:textAlignment w:val="baseline"/>
        <w:rPr>
          <w:bCs/>
        </w:rPr>
      </w:pPr>
      <w:r w:rsidRPr="00463E79">
        <w:rPr>
          <w:bCs/>
        </w:rPr>
        <w:t>Naujame Skuodo rajono savivaldybės 2020–2025 metų strateginiame plane tarp ilgalaikių prioritetų „Patraukli ir saugi gyvenamoji aplinka“ numatyti šie tikslai ir jų uždaviniai su priemonėmis</w:t>
      </w:r>
      <w:r w:rsidR="002C2840">
        <w:rPr>
          <w:bCs/>
        </w:rPr>
        <w:t>, kuriuos Kultūros centras</w:t>
      </w:r>
      <w:r w:rsidR="002C2840" w:rsidRPr="002C2840">
        <w:rPr>
          <w:bCs/>
        </w:rPr>
        <w:t xml:space="preserve"> p</w:t>
      </w:r>
      <w:r w:rsidR="002C2840">
        <w:rPr>
          <w:bCs/>
        </w:rPr>
        <w:t>agal gautus asignavimus stengiasi užtikrinti bei įgyvendinti</w:t>
      </w:r>
      <w:r w:rsidRPr="00463E79">
        <w:rPr>
          <w:bCs/>
        </w:rPr>
        <w:t xml:space="preserve">: </w:t>
      </w:r>
    </w:p>
    <w:p w14:paraId="50305268" w14:textId="30576F9C" w:rsidR="00463E79" w:rsidRPr="00463E79" w:rsidRDefault="00463E79" w:rsidP="00463E79">
      <w:pPr>
        <w:suppressAutoHyphens/>
        <w:autoSpaceDN w:val="0"/>
        <w:ind w:firstLine="1247"/>
        <w:jc w:val="both"/>
        <w:textAlignment w:val="baseline"/>
        <w:rPr>
          <w:bCs/>
        </w:rPr>
      </w:pPr>
      <w:r w:rsidRPr="00463E79">
        <w:rPr>
          <w:bCs/>
        </w:rPr>
        <w:t>1 . Kurti patrauklias gyvenimo sąlygas rajono gyventojams</w:t>
      </w:r>
      <w:r w:rsidR="009D2779">
        <w:rPr>
          <w:bCs/>
        </w:rPr>
        <w:t>.</w:t>
      </w:r>
    </w:p>
    <w:p w14:paraId="68D632E0" w14:textId="2B3983DB" w:rsidR="00463E79" w:rsidRPr="00463E79" w:rsidRDefault="009D2779" w:rsidP="00463E79">
      <w:pPr>
        <w:suppressAutoHyphens/>
        <w:autoSpaceDN w:val="0"/>
        <w:ind w:firstLine="1247"/>
        <w:jc w:val="both"/>
        <w:textAlignment w:val="baseline"/>
        <w:rPr>
          <w:bCs/>
        </w:rPr>
      </w:pPr>
      <w:r>
        <w:rPr>
          <w:bCs/>
        </w:rPr>
        <w:t>2</w:t>
      </w:r>
      <w:r w:rsidR="00463E79" w:rsidRPr="00463E79">
        <w:rPr>
          <w:bCs/>
        </w:rPr>
        <w:t>. Užtikrinti kultūros paslaugų kokybę ir prieinamumą (1.4.1 priemonė. Kultūros įstaigų veiklos optimizavimas ir bendradarbiavimo skatinimas)</w:t>
      </w:r>
      <w:r>
        <w:rPr>
          <w:bCs/>
        </w:rPr>
        <w:t>.</w:t>
      </w:r>
    </w:p>
    <w:p w14:paraId="7C6AA612" w14:textId="64FCB456" w:rsidR="00463E79" w:rsidRPr="00463E79" w:rsidRDefault="009D2779" w:rsidP="00463E79">
      <w:pPr>
        <w:suppressAutoHyphens/>
        <w:autoSpaceDN w:val="0"/>
        <w:ind w:firstLine="1247"/>
        <w:jc w:val="both"/>
        <w:textAlignment w:val="baseline"/>
        <w:rPr>
          <w:bCs/>
        </w:rPr>
      </w:pPr>
      <w:r>
        <w:rPr>
          <w:bCs/>
        </w:rPr>
        <w:t>3</w:t>
      </w:r>
      <w:r w:rsidR="00463E79" w:rsidRPr="00463E79">
        <w:rPr>
          <w:bCs/>
        </w:rPr>
        <w:t>. Kurti patrauklias poilsio sąlygas rajono gyventojams ir svečiams</w:t>
      </w:r>
      <w:r>
        <w:rPr>
          <w:bCs/>
        </w:rPr>
        <w:t>.</w:t>
      </w:r>
    </w:p>
    <w:p w14:paraId="2271F38E" w14:textId="4D9F3AA2" w:rsidR="00463E79" w:rsidRPr="00463E79" w:rsidRDefault="009D2779" w:rsidP="00463E79">
      <w:pPr>
        <w:suppressAutoHyphens/>
        <w:autoSpaceDN w:val="0"/>
        <w:ind w:firstLine="1247"/>
        <w:jc w:val="both"/>
        <w:textAlignment w:val="baseline"/>
        <w:rPr>
          <w:bCs/>
        </w:rPr>
      </w:pPr>
      <w:r>
        <w:rPr>
          <w:bCs/>
        </w:rPr>
        <w:t>4</w:t>
      </w:r>
      <w:r w:rsidR="00463E79" w:rsidRPr="00463E79">
        <w:rPr>
          <w:bCs/>
        </w:rPr>
        <w:t>. Formuoti patrauklų savivaldybės įvaizdį (2.2.2 priemonė. Krašto kultūros tradicijų ir kalbos identiteto stiprinimas).</w:t>
      </w:r>
    </w:p>
    <w:p w14:paraId="08996189" w14:textId="77777777" w:rsidR="00BA3ABF" w:rsidRPr="006713E2" w:rsidRDefault="00BA3ABF" w:rsidP="00634AF3">
      <w:pPr>
        <w:suppressAutoHyphens/>
        <w:autoSpaceDN w:val="0"/>
        <w:textAlignment w:val="baseline"/>
        <w:rPr>
          <w:b/>
          <w:bCs/>
        </w:rPr>
      </w:pPr>
    </w:p>
    <w:p w14:paraId="7F3F7B2A" w14:textId="77777777" w:rsidR="00377A50" w:rsidRPr="006713E2" w:rsidRDefault="00377A50" w:rsidP="00377A50">
      <w:pPr>
        <w:suppressAutoHyphens/>
        <w:autoSpaceDN w:val="0"/>
        <w:jc w:val="center"/>
        <w:textAlignment w:val="baseline"/>
        <w:rPr>
          <w:b/>
          <w:bCs/>
        </w:rPr>
      </w:pPr>
      <w:r>
        <w:rPr>
          <w:b/>
          <w:bCs/>
        </w:rPr>
        <w:t xml:space="preserve">II SKYRIUS </w:t>
      </w:r>
    </w:p>
    <w:p w14:paraId="4164F584" w14:textId="77777777" w:rsidR="00377A50" w:rsidRPr="006713E2" w:rsidRDefault="00377A50" w:rsidP="00377A50">
      <w:pPr>
        <w:suppressAutoHyphens/>
        <w:autoSpaceDN w:val="0"/>
        <w:jc w:val="center"/>
        <w:textAlignment w:val="baseline"/>
        <w:rPr>
          <w:b/>
          <w:bCs/>
        </w:rPr>
      </w:pPr>
      <w:r w:rsidRPr="006713E2">
        <w:rPr>
          <w:b/>
          <w:bCs/>
        </w:rPr>
        <w:t>KONTEKSTO (APLINKOS) ANALIZĖ</w:t>
      </w:r>
    </w:p>
    <w:p w14:paraId="592B9B26" w14:textId="77777777" w:rsidR="00377A50" w:rsidRPr="00C706C8" w:rsidRDefault="00377A50" w:rsidP="00377A50">
      <w:pPr>
        <w:suppressAutoHyphens/>
        <w:autoSpaceDN w:val="0"/>
        <w:jc w:val="center"/>
        <w:textAlignment w:val="baseline"/>
        <w:rPr>
          <w:b/>
          <w:bCs/>
          <w:sz w:val="16"/>
        </w:rPr>
      </w:pPr>
    </w:p>
    <w:p w14:paraId="0CAE0C6B" w14:textId="77777777" w:rsidR="00F3584A" w:rsidRPr="00F3584A" w:rsidRDefault="00F3584A" w:rsidP="00F3584A">
      <w:pPr>
        <w:suppressAutoHyphens/>
        <w:autoSpaceDN w:val="0"/>
        <w:ind w:firstLine="1247"/>
        <w:jc w:val="both"/>
        <w:textAlignment w:val="baseline"/>
        <w:rPr>
          <w:bCs/>
        </w:rPr>
      </w:pPr>
      <w:r w:rsidRPr="00F3584A">
        <w:rPr>
          <w:b/>
          <w:bCs/>
        </w:rPr>
        <w:t>Politiniai-teisiniai veiksniai.</w:t>
      </w:r>
      <w:r w:rsidRPr="00F3584A">
        <w:rPr>
          <w:bCs/>
        </w:rPr>
        <w:t xml:space="preserve"> Kultūra </w:t>
      </w:r>
      <w:r w:rsidR="00493E6F">
        <w:rPr>
          <w:bCs/>
        </w:rPr>
        <w:t>yra kintanti būsena, kurią būtų sunku</w:t>
      </w:r>
      <w:r w:rsidRPr="00F3584A">
        <w:rPr>
          <w:bCs/>
        </w:rPr>
        <w:t xml:space="preserve"> nuosekliai ir išsamiai aprašyti. Lietuvoje nėra patvirtintos kultūros centrų vystymo strategijos, vieningų standartų ar kriterijų, </w:t>
      </w:r>
      <w:r w:rsidR="00493E6F">
        <w:rPr>
          <w:bCs/>
        </w:rPr>
        <w:t>įvairūs</w:t>
      </w:r>
      <w:r w:rsidR="00493E6F" w:rsidRPr="00493E6F">
        <w:rPr>
          <w:bCs/>
        </w:rPr>
        <w:t xml:space="preserve"> sukrėtimai</w:t>
      </w:r>
      <w:r w:rsidR="00493E6F">
        <w:rPr>
          <w:bCs/>
        </w:rPr>
        <w:t>, įvykiai</w:t>
      </w:r>
      <w:r w:rsidR="00493E6F" w:rsidRPr="00493E6F">
        <w:rPr>
          <w:bCs/>
        </w:rPr>
        <w:t xml:space="preserve">  ir  lūžiai  aiškiai  rodo,  kad  šiandien  globaliame pasaulyje  lokalumas  ir  tradicijos  atsiduria  ties  išnykimo  riba, </w:t>
      </w:r>
      <w:r w:rsidRPr="00F3584A">
        <w:rPr>
          <w:bCs/>
        </w:rPr>
        <w:t>todėl Kultūros politiką privaloma formuoti kryptingai. Tai turėtų būti konkretūs valstybės institucijų sprendimai bei veiksmai, kuriais būtų imamasi kultūrą plėtoti ir skleisti, įtrauktų visuomenės dalyvavimą kultūros procese, užtikrintų jos valdymą, remtų meninę kūrybą, užtikrintų žmogaus įvairiapusę kultūrinę raišką. Kultūra yra nacionalinės vyriausybės kompetencija ir prioritetas. Europos Sąjunga nereglamentuoja nacionalinės kultūros politikos, bet Europos Sąjunga suinteresuota šalių narių kultūros įvairove, kultūriniu bendradarbiavimu tarp šalių. Todėl Kultūros centro asignavimai, skirti funkcijoms vykdyti, priklauso nuo vietos savivaldos prioritetų.</w:t>
      </w:r>
    </w:p>
    <w:p w14:paraId="0C1F0CF6" w14:textId="7EF26468" w:rsidR="00F3584A" w:rsidRPr="00F3584A" w:rsidRDefault="00F3584A" w:rsidP="00F3584A">
      <w:pPr>
        <w:suppressAutoHyphens/>
        <w:autoSpaceDN w:val="0"/>
        <w:ind w:firstLine="1247"/>
        <w:jc w:val="both"/>
        <w:textAlignment w:val="baseline"/>
        <w:rPr>
          <w:bCs/>
        </w:rPr>
      </w:pPr>
      <w:r w:rsidRPr="00F3584A">
        <w:rPr>
          <w:bCs/>
        </w:rPr>
        <w:t xml:space="preserve">Skuodo rajono kultūros centro  savininko teises ir pareigas įgyvendinanti institucija – Skuodo rajono savivaldybė. Kultūros centras, vykdydamas Lietuvos Respublikos kultūros centrų įstatyme numatytas funkcijas, savo veikloje vadovaujasi ir LR Konstitucija, LR </w:t>
      </w:r>
      <w:r w:rsidR="009D2779">
        <w:rPr>
          <w:bCs/>
        </w:rPr>
        <w:t>b</w:t>
      </w:r>
      <w:r w:rsidRPr="00F3584A">
        <w:rPr>
          <w:bCs/>
        </w:rPr>
        <w:t xml:space="preserve">iudžetinių įstaigų įstatymu, Civiliniu kodeksu, Vietos savivaldos įstatymu, LR Vyriausybės nutarimais, LR </w:t>
      </w:r>
      <w:r w:rsidR="009D2779">
        <w:rPr>
          <w:bCs/>
        </w:rPr>
        <w:t>k</w:t>
      </w:r>
      <w:r w:rsidRPr="00F3584A">
        <w:rPr>
          <w:bCs/>
        </w:rPr>
        <w:t xml:space="preserve">ultūros </w:t>
      </w:r>
      <w:r w:rsidRPr="00F3584A">
        <w:rPr>
          <w:bCs/>
        </w:rPr>
        <w:lastRenderedPageBreak/>
        <w:t xml:space="preserve">ministro įsakymais, Skuodo rajono savivaldybės tarybos sprendimais, </w:t>
      </w:r>
      <w:r w:rsidR="009D2779">
        <w:rPr>
          <w:bCs/>
        </w:rPr>
        <w:t>S</w:t>
      </w:r>
      <w:r w:rsidRPr="00F3584A">
        <w:rPr>
          <w:bCs/>
        </w:rPr>
        <w:t xml:space="preserve">avivaldybės mero potvarkiais, </w:t>
      </w:r>
      <w:r w:rsidR="009D2779">
        <w:rPr>
          <w:bCs/>
        </w:rPr>
        <w:t>S</w:t>
      </w:r>
      <w:r w:rsidRPr="00F3584A">
        <w:rPr>
          <w:bCs/>
        </w:rPr>
        <w:t>avivaldybės administracijos direktoriaus įsakymais ir kitais teisės aktais bei nuostatais.</w:t>
      </w:r>
    </w:p>
    <w:p w14:paraId="1E40F3AA" w14:textId="77777777" w:rsidR="00F3584A" w:rsidRPr="00F3584A" w:rsidRDefault="00F3584A" w:rsidP="00F3584A">
      <w:pPr>
        <w:suppressAutoHyphens/>
        <w:autoSpaceDN w:val="0"/>
        <w:ind w:firstLine="1247"/>
        <w:jc w:val="both"/>
        <w:textAlignment w:val="baseline"/>
        <w:rPr>
          <w:bCs/>
        </w:rPr>
      </w:pPr>
      <w:r w:rsidRPr="00F3584A">
        <w:rPr>
          <w:bCs/>
        </w:rPr>
        <w:t>Kultūros centro veikla grindžiama bendražmogiškomis vertybėmis bei tautos tradicijomis, todėl privalo tenkinti gyventojų kultūrinius poreikius, nepriklausomai nuo jų tautybės, politinių pažiūrų, amžiaus, religijos, profesijos ir kitų požymių.</w:t>
      </w:r>
      <w:r w:rsidR="008827A6" w:rsidRPr="008827A6">
        <w:t xml:space="preserve"> </w:t>
      </w:r>
      <w:r w:rsidR="008827A6" w:rsidRPr="008827A6">
        <w:rPr>
          <w:bCs/>
        </w:rPr>
        <w:t>Kultūros paslaugos vienodomis teisėmis prieinamos visiems fiziniams   ir   juridiniams   asmenims</w:t>
      </w:r>
      <w:r w:rsidR="008827A6">
        <w:rPr>
          <w:bCs/>
        </w:rPr>
        <w:t>.</w:t>
      </w:r>
    </w:p>
    <w:p w14:paraId="3CD0805F" w14:textId="77777777" w:rsidR="001C62A4" w:rsidRDefault="00F3584A" w:rsidP="00800C1C">
      <w:pPr>
        <w:suppressAutoHyphens/>
        <w:autoSpaceDN w:val="0"/>
        <w:ind w:firstLine="1247"/>
        <w:jc w:val="both"/>
        <w:textAlignment w:val="baseline"/>
        <w:rPr>
          <w:bCs/>
        </w:rPr>
      </w:pPr>
      <w:r w:rsidRPr="00F3584A">
        <w:rPr>
          <w:b/>
          <w:bCs/>
        </w:rPr>
        <w:t xml:space="preserve">Socialiniai veiksniai. </w:t>
      </w:r>
      <w:r w:rsidRPr="00F3584A">
        <w:rPr>
          <w:bCs/>
        </w:rPr>
        <w:t>Skuodo rajono savivaldybėje</w:t>
      </w:r>
      <w:r w:rsidRPr="00F3584A">
        <w:rPr>
          <w:b/>
          <w:bCs/>
        </w:rPr>
        <w:t xml:space="preserve"> </w:t>
      </w:r>
      <w:r w:rsidR="00F15147">
        <w:rPr>
          <w:bCs/>
        </w:rPr>
        <w:t>2020</w:t>
      </w:r>
      <w:r w:rsidRPr="00F3584A">
        <w:rPr>
          <w:bCs/>
        </w:rPr>
        <w:t xml:space="preserve"> m. pradžioje gyveno </w:t>
      </w:r>
      <w:r w:rsidR="00F15147" w:rsidRPr="00F15147">
        <w:rPr>
          <w:bCs/>
        </w:rPr>
        <w:t>16 257 gyventojai</w:t>
      </w:r>
      <w:r w:rsidR="009F4A78">
        <w:rPr>
          <w:bCs/>
        </w:rPr>
        <w:t xml:space="preserve"> ir mažėjimas siekia</w:t>
      </w:r>
      <w:r w:rsidR="00F15147" w:rsidRPr="00F15147">
        <w:rPr>
          <w:bCs/>
        </w:rPr>
        <w:t xml:space="preserve"> net 3 proc</w:t>
      </w:r>
      <w:r w:rsidRPr="00F3584A">
        <w:rPr>
          <w:bCs/>
        </w:rPr>
        <w:t>. Mies</w:t>
      </w:r>
      <w:r w:rsidR="00800C1C">
        <w:rPr>
          <w:bCs/>
        </w:rPr>
        <w:t>to gyventojų dalis rajone sudaro tik</w:t>
      </w:r>
      <w:r w:rsidRPr="00F3584A">
        <w:rPr>
          <w:bCs/>
        </w:rPr>
        <w:t xml:space="preserve"> 32 proc., kaimo – 68 proc. </w:t>
      </w:r>
      <w:r w:rsidR="001C62A4" w:rsidRPr="001C62A4">
        <w:rPr>
          <w:bCs/>
        </w:rPr>
        <w:t>2012–2020 m. laikotarpiu gyventojų skaičius Skuodo rajone nuosekliai mažėjo, tačiau nuo 2</w:t>
      </w:r>
      <w:r w:rsidR="00800C1C">
        <w:rPr>
          <w:bCs/>
        </w:rPr>
        <w:t>016 m. mažėjimas šiek tiek</w:t>
      </w:r>
      <w:r w:rsidR="001C62A4" w:rsidRPr="001C62A4">
        <w:rPr>
          <w:bCs/>
        </w:rPr>
        <w:t xml:space="preserve"> sulėtėjo.</w:t>
      </w:r>
      <w:r w:rsidR="001C62A4">
        <w:rPr>
          <w:bCs/>
        </w:rPr>
        <w:t xml:space="preserve"> </w:t>
      </w:r>
      <w:r w:rsidR="001C62A4" w:rsidRPr="001C62A4">
        <w:rPr>
          <w:bCs/>
        </w:rPr>
        <w:t>24 proc. gyventojų sudaro pensinio amžiaus gyventojai, 15 proc. vaikai iki 16 m.</w:t>
      </w:r>
      <w:r w:rsidR="001C62A4">
        <w:rPr>
          <w:bCs/>
        </w:rPr>
        <w:t xml:space="preserve"> </w:t>
      </w:r>
      <w:r w:rsidR="001C62A4" w:rsidRPr="001C62A4">
        <w:rPr>
          <w:bCs/>
        </w:rPr>
        <w:t>Analizuojant Skuodo rajono gyventojų struktūrą pagal amžiaus grupes</w:t>
      </w:r>
      <w:r w:rsidR="00800C1C">
        <w:rPr>
          <w:bCs/>
        </w:rPr>
        <w:t>,</w:t>
      </w:r>
      <w:r w:rsidR="001C62A4" w:rsidRPr="001C62A4">
        <w:rPr>
          <w:bCs/>
        </w:rPr>
        <w:t xml:space="preserve"> Skuodo rajone daugiau vyresnio amžiaus žmonių. Jei Skuodo rajone darbingo amžiaus gyventojai sudaro 62 proc. visų gyventojų, tai Lietuvos mastu – 64 proc</w:t>
      </w:r>
      <w:r w:rsidR="001C62A4">
        <w:rPr>
          <w:bCs/>
        </w:rPr>
        <w:t xml:space="preserve">. </w:t>
      </w:r>
      <w:r w:rsidR="001C62A4" w:rsidRPr="001C62A4">
        <w:rPr>
          <w:bCs/>
        </w:rPr>
        <w:t>Skuodo rajono gyventojai yra gerokai vyresni nei Lietuvos Respublikos gyventojų vidurkis. Demografinis senatvės koeficientas parodo, kiek pagyvenusių (60 metų ir vyresnio amžiaus) žmonių tenka 100 vaikų iki 15 metų amžiaus. 2020 m. Skuodo rajone 100 vaikų teko 174,1 pensinio amžiaus gyventojai, kai tuo pačiu laikotarpiu Klaipėdos apskrityje – tik 118,3</w:t>
      </w:r>
      <w:r w:rsidR="009F4A78">
        <w:rPr>
          <w:bCs/>
        </w:rPr>
        <w:t>.</w:t>
      </w:r>
    </w:p>
    <w:p w14:paraId="25D99E85" w14:textId="43D94484" w:rsidR="00F3584A" w:rsidRPr="00F3584A" w:rsidRDefault="00F3584A" w:rsidP="00F3584A">
      <w:pPr>
        <w:suppressAutoHyphens/>
        <w:autoSpaceDN w:val="0"/>
        <w:ind w:firstLine="1247"/>
        <w:jc w:val="both"/>
        <w:textAlignment w:val="baseline"/>
        <w:rPr>
          <w:b/>
          <w:bCs/>
        </w:rPr>
      </w:pPr>
      <w:r w:rsidRPr="00F3584A">
        <w:rPr>
          <w:bCs/>
        </w:rPr>
        <w:t xml:space="preserve">Prognozės rodo, jog gyventojų skaičius ir toliau gali kristi, o pagal amžių rajonas yra sparčiai senstantis. </w:t>
      </w:r>
      <w:r w:rsidR="009F4A78">
        <w:rPr>
          <w:bCs/>
        </w:rPr>
        <w:t>2020</w:t>
      </w:r>
      <w:r w:rsidR="00A52119">
        <w:rPr>
          <w:bCs/>
        </w:rPr>
        <w:t xml:space="preserve"> metų statistinę</w:t>
      </w:r>
      <w:r w:rsidRPr="00F3584A">
        <w:rPr>
          <w:bCs/>
        </w:rPr>
        <w:t xml:space="preserve"> </w:t>
      </w:r>
      <w:r w:rsidR="009D2779">
        <w:rPr>
          <w:bCs/>
        </w:rPr>
        <w:t>K</w:t>
      </w:r>
      <w:r w:rsidRPr="00F3584A">
        <w:rPr>
          <w:bCs/>
        </w:rPr>
        <w:t>ultūros centro ir jo skyrių veik</w:t>
      </w:r>
      <w:r w:rsidR="009F4A78">
        <w:rPr>
          <w:bCs/>
        </w:rPr>
        <w:t>lą labiausiai pakoregavo pandemija ir karantino sąlygos, kurios įtakojo</w:t>
      </w:r>
      <w:r w:rsidRPr="00F3584A">
        <w:rPr>
          <w:bCs/>
        </w:rPr>
        <w:t xml:space="preserve"> renginių</w:t>
      </w:r>
      <w:r w:rsidR="009F4A78">
        <w:rPr>
          <w:bCs/>
        </w:rPr>
        <w:t xml:space="preserve"> kiekio sumažėjimą</w:t>
      </w:r>
      <w:r w:rsidRPr="00F3584A">
        <w:rPr>
          <w:bCs/>
        </w:rPr>
        <w:t xml:space="preserve">, </w:t>
      </w:r>
      <w:r w:rsidR="00A52119">
        <w:rPr>
          <w:bCs/>
        </w:rPr>
        <w:t>nors</w:t>
      </w:r>
      <w:r w:rsidR="009F4A78">
        <w:rPr>
          <w:bCs/>
        </w:rPr>
        <w:t xml:space="preserve"> lanky</w:t>
      </w:r>
      <w:r w:rsidR="00A52119">
        <w:rPr>
          <w:bCs/>
        </w:rPr>
        <w:t>tojų sulaukta žymiai daugiau, kadangi</w:t>
      </w:r>
      <w:r w:rsidR="00C26339">
        <w:rPr>
          <w:bCs/>
        </w:rPr>
        <w:t xml:space="preserve"> daug veiklų, vaizdo renginių</w:t>
      </w:r>
      <w:r w:rsidR="009F4A78">
        <w:rPr>
          <w:bCs/>
        </w:rPr>
        <w:t xml:space="preserve"> persikėlė į socialinius tinklus.</w:t>
      </w:r>
      <w:r w:rsidR="00C26339">
        <w:rPr>
          <w:bCs/>
        </w:rPr>
        <w:t xml:space="preserve"> M</w:t>
      </w:r>
      <w:r w:rsidRPr="00F3584A">
        <w:rPr>
          <w:bCs/>
        </w:rPr>
        <w:t>ėgėjų meno kolektyvų veiklose visuomenė dalyvauja aktyviai,</w:t>
      </w:r>
      <w:r w:rsidR="00A52119">
        <w:rPr>
          <w:bCs/>
        </w:rPr>
        <w:t xml:space="preserve"> kuriasi nauji kolektyvai,</w:t>
      </w:r>
      <w:r w:rsidRPr="00F3584A">
        <w:rPr>
          <w:bCs/>
        </w:rPr>
        <w:t xml:space="preserve"> skaičiai yra stabilūs</w:t>
      </w:r>
      <w:r w:rsidR="00EB109B">
        <w:rPr>
          <w:bCs/>
        </w:rPr>
        <w:t xml:space="preserve"> arba didesni, lyginant su</w:t>
      </w:r>
      <w:r w:rsidRPr="00F3584A">
        <w:rPr>
          <w:bCs/>
        </w:rPr>
        <w:t xml:space="preserve"> praėjusiais metais. Tačiau paminėti demografiniai rezultatai (gyventojų mažėjimas ir senėjimas) </w:t>
      </w:r>
      <w:r w:rsidR="00A52119">
        <w:rPr>
          <w:bCs/>
        </w:rPr>
        <w:t xml:space="preserve">ir dėl pandemijos paskelbtas karantinas </w:t>
      </w:r>
      <w:r w:rsidRPr="00F3584A">
        <w:rPr>
          <w:bCs/>
        </w:rPr>
        <w:t xml:space="preserve">vis dėlto gali neigiamai įtakoti </w:t>
      </w:r>
      <w:r w:rsidR="009D2779">
        <w:rPr>
          <w:bCs/>
        </w:rPr>
        <w:t>K</w:t>
      </w:r>
      <w:r w:rsidRPr="00F3584A">
        <w:rPr>
          <w:bCs/>
        </w:rPr>
        <w:t xml:space="preserve">ultūros centro veiklą, renginių </w:t>
      </w:r>
      <w:r w:rsidR="00EB109B">
        <w:rPr>
          <w:bCs/>
        </w:rPr>
        <w:t>bei lankytojų skaičių, mėgėjų meno kolektyvų veiklą, grįžimą į normalias vėžes</w:t>
      </w:r>
      <w:r w:rsidRPr="00F3584A">
        <w:rPr>
          <w:bCs/>
        </w:rPr>
        <w:t>.</w:t>
      </w:r>
    </w:p>
    <w:p w14:paraId="28A31E46" w14:textId="77777777" w:rsidR="00377A50" w:rsidRDefault="00F3584A" w:rsidP="006822CB">
      <w:pPr>
        <w:suppressAutoHyphens/>
        <w:autoSpaceDN w:val="0"/>
        <w:ind w:firstLine="1247"/>
        <w:jc w:val="both"/>
        <w:textAlignment w:val="baseline"/>
        <w:rPr>
          <w:bCs/>
        </w:rPr>
      </w:pPr>
      <w:r w:rsidRPr="00F3584A">
        <w:rPr>
          <w:b/>
          <w:bCs/>
        </w:rPr>
        <w:t>Ekonominiai veiksniai</w:t>
      </w:r>
      <w:r w:rsidRPr="00F3584A">
        <w:rPr>
          <w:bCs/>
        </w:rPr>
        <w:t>. Skuodo rajono kultūros centras finansuojamas iš šių pagrindinių šaltinių: Skuodo rajono savivaldybės skiriamų asignavimų, pajamų už įstaigos teikiamas paslaugas, projektų ir rėmėjų lėšų. Skiriamų lėšų kiekis tiesiogiai įtakoja pagrindinių Kultūros centro funkcijų atlikimo galimybes. Trūksta lėšų personalo motyvavimui ir skatinimui, jaunų kvalifikuotų specialistų pritraukimui, smulkiems patalpų remonto darbams, inventoriaus įsigijimui, apšvietimo įrenginių bazės atnaujinimui. Mažas privataus sektoriaus vaidmuo, remiant kultūrą ir meną, nėra mecenatystės tradicijų.</w:t>
      </w:r>
    </w:p>
    <w:p w14:paraId="14CD21A0" w14:textId="77777777" w:rsidR="006822CB" w:rsidRPr="006822CB" w:rsidRDefault="006822CB" w:rsidP="006822CB">
      <w:pPr>
        <w:suppressAutoHyphens/>
        <w:autoSpaceDN w:val="0"/>
        <w:ind w:firstLine="1247"/>
        <w:jc w:val="both"/>
        <w:textAlignment w:val="baseline"/>
        <w:rPr>
          <w:bCs/>
        </w:rPr>
      </w:pPr>
    </w:p>
    <w:p w14:paraId="1C8FA176" w14:textId="77777777" w:rsidR="00377A50" w:rsidRPr="006713E2" w:rsidRDefault="00377A50" w:rsidP="00377A50">
      <w:pPr>
        <w:suppressAutoHyphens/>
        <w:autoSpaceDN w:val="0"/>
        <w:jc w:val="center"/>
        <w:textAlignment w:val="baseline"/>
        <w:rPr>
          <w:b/>
          <w:bCs/>
        </w:rPr>
      </w:pPr>
      <w:r>
        <w:rPr>
          <w:b/>
          <w:bCs/>
        </w:rPr>
        <w:t>III SKYRIUS</w:t>
      </w:r>
    </w:p>
    <w:p w14:paraId="4D31F765" w14:textId="77777777" w:rsidR="00377A50" w:rsidRPr="006713E2" w:rsidRDefault="00377A50" w:rsidP="00377A50">
      <w:pPr>
        <w:suppressAutoHyphens/>
        <w:autoSpaceDN w:val="0"/>
        <w:jc w:val="center"/>
        <w:textAlignment w:val="baseline"/>
        <w:rPr>
          <w:b/>
          <w:bCs/>
        </w:rPr>
      </w:pPr>
      <w:r w:rsidRPr="006713E2">
        <w:rPr>
          <w:b/>
          <w:bCs/>
        </w:rPr>
        <w:t>STRATEGINIŲ TIKSLŲ ĮGYVENDINIMAS</w:t>
      </w:r>
    </w:p>
    <w:p w14:paraId="10ECBB21" w14:textId="77777777" w:rsidR="00377A50" w:rsidRPr="006713E2" w:rsidRDefault="00377A50" w:rsidP="00377A50">
      <w:pPr>
        <w:suppressAutoHyphens/>
        <w:autoSpaceDN w:val="0"/>
        <w:textAlignment w:val="baseline"/>
        <w:rPr>
          <w:bCs/>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377A50" w:rsidRPr="006713E2" w14:paraId="5D961AFD" w14:textId="77777777" w:rsidTr="008D11D2">
        <w:trPr>
          <w:trHeight w:val="4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D3A7DE" w14:textId="77777777" w:rsidR="00377A50" w:rsidRPr="006713E2" w:rsidRDefault="00377A50" w:rsidP="005444AC">
            <w:pPr>
              <w:suppressAutoHyphens/>
              <w:autoSpaceDN w:val="0"/>
              <w:textAlignment w:val="baseline"/>
              <w:rPr>
                <w:rFonts w:eastAsia="Calibri"/>
                <w:b/>
                <w:bCs/>
                <w:sz w:val="22"/>
              </w:rPr>
            </w:pPr>
            <w:r w:rsidRPr="006713E2">
              <w:rPr>
                <w:rFonts w:eastAsia="Calibri"/>
                <w:b/>
                <w:bCs/>
                <w:sz w:val="22"/>
              </w:rPr>
              <w:t>1 strateginis tikslas</w:t>
            </w:r>
            <w:r>
              <w:rPr>
                <w:rStyle w:val="Puslapioinaosnuoroda"/>
                <w:rFonts w:eastAsia="Calibri"/>
                <w:b/>
                <w:bCs/>
                <w:sz w:val="22"/>
              </w:rPr>
              <w:footnoteReference w:id="1"/>
            </w:r>
            <w:r>
              <w:rPr>
                <w:rFonts w:eastAsia="Calibri"/>
                <w:b/>
                <w:bCs/>
                <w:sz w:val="22"/>
              </w:rPr>
              <w:t xml:space="preserve"> – </w:t>
            </w:r>
            <w:r w:rsidR="005444AC" w:rsidRPr="005444AC">
              <w:rPr>
                <w:rFonts w:eastAsia="Calibri"/>
                <w:b/>
                <w:bCs/>
                <w:sz w:val="22"/>
              </w:rPr>
              <w:t>užtikrinti aukštą teikiamų paslaugų kokybę ir prieinamumą</w:t>
            </w:r>
          </w:p>
          <w:p w14:paraId="26DBE969" w14:textId="77777777" w:rsidR="00377A50" w:rsidRPr="006713E2" w:rsidRDefault="00377A50" w:rsidP="008D11D2">
            <w:pPr>
              <w:suppressAutoHyphens/>
              <w:autoSpaceDN w:val="0"/>
              <w:jc w:val="center"/>
              <w:textAlignment w:val="baseline"/>
              <w:rPr>
                <w:b/>
                <w:bCs/>
                <w:sz w:val="22"/>
              </w:rPr>
            </w:pPr>
            <w:r w:rsidRPr="006713E2">
              <w:rPr>
                <w:rFonts w:eastAsia="Calibri"/>
                <w:b/>
                <w:bCs/>
                <w:sz w:val="22"/>
              </w:rPr>
              <w:t xml:space="preserve"> </w:t>
            </w:r>
          </w:p>
        </w:tc>
      </w:tr>
      <w:tr w:rsidR="00377A50" w:rsidRPr="006713E2" w14:paraId="38E6496C" w14:textId="77777777" w:rsidTr="008D11D2">
        <w:trPr>
          <w:trHeight w:val="4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63E70" w14:textId="77777777" w:rsidR="00377A50" w:rsidRPr="006713E2" w:rsidRDefault="00377A50" w:rsidP="005444AC">
            <w:pPr>
              <w:suppressAutoHyphens/>
              <w:autoSpaceDN w:val="0"/>
              <w:textAlignment w:val="baseline"/>
              <w:rPr>
                <w:rFonts w:eastAsia="Calibri"/>
                <w:b/>
                <w:bCs/>
                <w:sz w:val="22"/>
              </w:rPr>
            </w:pPr>
            <w:r>
              <w:rPr>
                <w:rFonts w:eastAsia="Calibri"/>
                <w:b/>
                <w:bCs/>
                <w:sz w:val="22"/>
              </w:rPr>
              <w:t>Tikslas</w:t>
            </w:r>
            <w:r>
              <w:rPr>
                <w:rStyle w:val="Puslapioinaosnuoroda"/>
                <w:rFonts w:eastAsia="Calibri"/>
                <w:b/>
                <w:bCs/>
                <w:sz w:val="22"/>
              </w:rPr>
              <w:footnoteReference w:id="2"/>
            </w:r>
            <w:r>
              <w:rPr>
                <w:rFonts w:eastAsia="Calibri"/>
                <w:b/>
                <w:bCs/>
                <w:sz w:val="22"/>
              </w:rPr>
              <w:t xml:space="preserve"> –</w:t>
            </w:r>
            <w:r w:rsidR="005444AC" w:rsidRPr="005444AC">
              <w:rPr>
                <w:rFonts w:eastAsia="Calibri"/>
                <w:b/>
                <w:bCs/>
                <w:sz w:val="22"/>
              </w:rPr>
              <w:t xml:space="preserve"> skatinti kultūrinę veiklą ir jos sklaidą Skuodo rajone</w:t>
            </w:r>
          </w:p>
        </w:tc>
      </w:tr>
      <w:tr w:rsidR="00377A50" w:rsidRPr="006713E2" w14:paraId="394C0536" w14:textId="77777777" w:rsidTr="008D11D2">
        <w:trPr>
          <w:trHeight w:val="470"/>
        </w:trPr>
        <w:tc>
          <w:tcPr>
            <w:tcW w:w="9639" w:type="dxa"/>
            <w:tcBorders>
              <w:top w:val="nil"/>
              <w:left w:val="single" w:sz="4" w:space="0" w:color="auto"/>
              <w:bottom w:val="nil"/>
              <w:right w:val="single" w:sz="4" w:space="0" w:color="auto"/>
            </w:tcBorders>
          </w:tcPr>
          <w:p w14:paraId="759B7BF0" w14:textId="77777777" w:rsidR="00377A50" w:rsidRPr="006713E2" w:rsidRDefault="00377A50" w:rsidP="008D11D2">
            <w:pPr>
              <w:suppressAutoHyphens/>
              <w:autoSpaceDN w:val="0"/>
              <w:jc w:val="both"/>
              <w:textAlignment w:val="baseline"/>
              <w:rPr>
                <w:i/>
                <w:sz w:val="20"/>
                <w:szCs w:val="22"/>
              </w:rPr>
            </w:pPr>
            <w:r w:rsidRPr="006713E2">
              <w:rPr>
                <w:rFonts w:eastAsia="Calibri"/>
                <w:b/>
                <w:i/>
                <w:sz w:val="18"/>
                <w:szCs w:val="22"/>
              </w:rPr>
              <w:t xml:space="preserve">1 </w:t>
            </w:r>
            <w:r w:rsidRPr="006713E2">
              <w:rPr>
                <w:rFonts w:eastAsia="Calibri"/>
                <w:b/>
                <w:i/>
                <w:sz w:val="20"/>
                <w:szCs w:val="22"/>
              </w:rPr>
              <w:t>lentelė.</w:t>
            </w:r>
            <w:r w:rsidRPr="006713E2">
              <w:rPr>
                <w:rFonts w:eastAsia="Calibri"/>
                <w:i/>
                <w:sz w:val="20"/>
                <w:szCs w:val="22"/>
              </w:rPr>
              <w:t xml:space="preserve"> </w:t>
            </w:r>
            <w:r>
              <w:rPr>
                <w:rFonts w:eastAsia="Calibri"/>
                <w:sz w:val="20"/>
                <w:szCs w:val="22"/>
              </w:rPr>
              <w:t>T</w:t>
            </w:r>
            <w:r w:rsidRPr="006713E2">
              <w:rPr>
                <w:rFonts w:eastAsia="Calibri"/>
                <w:sz w:val="20"/>
                <w:szCs w:val="22"/>
              </w:rPr>
              <w:t>ikslą įgyvendinančios programos patvirtintų asignavimų panaudojimas</w:t>
            </w:r>
          </w:p>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807"/>
              <w:gridCol w:w="1275"/>
              <w:gridCol w:w="1278"/>
              <w:gridCol w:w="1277"/>
              <w:gridCol w:w="1844"/>
            </w:tblGrid>
            <w:tr w:rsidR="00377A50" w:rsidRPr="006713E2" w14:paraId="0A5159EB" w14:textId="77777777" w:rsidTr="008D11D2">
              <w:tc>
                <w:tcPr>
                  <w:tcW w:w="8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E9FDE" w14:textId="77777777"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Programos kodas</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780741" w14:textId="77777777"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Programos pavadinimas</w:t>
                  </w:r>
                </w:p>
              </w:tc>
              <w:tc>
                <w:tcPr>
                  <w:tcW w:w="56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B08E8" w14:textId="77777777"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Asignavimų panaudojimas (tūkst. Eur)</w:t>
                  </w:r>
                </w:p>
              </w:tc>
            </w:tr>
            <w:tr w:rsidR="00377A50" w:rsidRPr="006713E2" w14:paraId="388DEC1C" w14:textId="77777777" w:rsidTr="008D11D2">
              <w:tc>
                <w:tcPr>
                  <w:tcW w:w="879" w:type="dxa"/>
                  <w:vMerge/>
                  <w:tcBorders>
                    <w:top w:val="single" w:sz="4" w:space="0" w:color="auto"/>
                    <w:left w:val="single" w:sz="4" w:space="0" w:color="auto"/>
                    <w:bottom w:val="single" w:sz="4" w:space="0" w:color="auto"/>
                    <w:right w:val="single" w:sz="4" w:space="0" w:color="auto"/>
                  </w:tcBorders>
                  <w:vAlign w:val="center"/>
                  <w:hideMark/>
                </w:tcPr>
                <w:p w14:paraId="6DF3313C" w14:textId="77777777" w:rsidR="00377A50" w:rsidRPr="006713E2" w:rsidRDefault="00377A50" w:rsidP="008D11D2">
                  <w:pPr>
                    <w:suppressAutoHyphens/>
                    <w:autoSpaceDN w:val="0"/>
                    <w:textAlignment w:val="baseline"/>
                    <w:rPr>
                      <w:bCs/>
                      <w:sz w:val="18"/>
                      <w:szCs w:val="1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25B4B2B9" w14:textId="77777777" w:rsidR="00377A50" w:rsidRPr="006713E2" w:rsidRDefault="00377A50" w:rsidP="008D11D2">
                  <w:pPr>
                    <w:suppressAutoHyphens/>
                    <w:autoSpaceDN w:val="0"/>
                    <w:textAlignment w:val="baseline"/>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393AA7" w14:textId="77777777"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Asignavimų planas</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BCB2B" w14:textId="77777777"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Patikslintas asignavimų planas*</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FE1ACB" w14:textId="77777777" w:rsidR="00377A50" w:rsidRPr="006713E2" w:rsidRDefault="00377A50" w:rsidP="008D11D2">
                  <w:pPr>
                    <w:suppressAutoHyphens/>
                    <w:autoSpaceDN w:val="0"/>
                    <w:jc w:val="center"/>
                    <w:textAlignment w:val="baseline"/>
                    <w:rPr>
                      <w:sz w:val="18"/>
                      <w:szCs w:val="18"/>
                    </w:rPr>
                  </w:pPr>
                  <w:r w:rsidRPr="006713E2">
                    <w:rPr>
                      <w:rFonts w:eastAsia="Calibri"/>
                      <w:sz w:val="18"/>
                      <w:szCs w:val="18"/>
                    </w:rPr>
                    <w:t>Panaudota</w:t>
                  </w:r>
                </w:p>
                <w:p w14:paraId="2656C659" w14:textId="77777777" w:rsidR="00377A50" w:rsidRPr="006713E2" w:rsidRDefault="00377A50" w:rsidP="008D11D2">
                  <w:pPr>
                    <w:suppressAutoHyphens/>
                    <w:autoSpaceDN w:val="0"/>
                    <w:jc w:val="center"/>
                    <w:textAlignment w:val="baseline"/>
                    <w:rPr>
                      <w:sz w:val="18"/>
                      <w:szCs w:val="18"/>
                    </w:rPr>
                  </w:pPr>
                  <w:r w:rsidRPr="006713E2">
                    <w:rPr>
                      <w:rFonts w:eastAsia="Calibri"/>
                      <w:sz w:val="18"/>
                      <w:szCs w:val="18"/>
                    </w:rPr>
                    <w:t>asignavimų</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40DAF" w14:textId="77777777" w:rsidR="00377A50" w:rsidRPr="006713E2" w:rsidRDefault="00377A50" w:rsidP="008D11D2">
                  <w:pPr>
                    <w:suppressAutoHyphens/>
                    <w:autoSpaceDN w:val="0"/>
                    <w:jc w:val="center"/>
                    <w:textAlignment w:val="baseline"/>
                    <w:rPr>
                      <w:sz w:val="18"/>
                      <w:szCs w:val="18"/>
                    </w:rPr>
                  </w:pPr>
                  <w:r w:rsidRPr="006713E2">
                    <w:rPr>
                      <w:rFonts w:eastAsia="Calibri"/>
                      <w:sz w:val="18"/>
                      <w:szCs w:val="18"/>
                    </w:rPr>
                    <w:t>Panaudota asignavimų (proc.)**</w:t>
                  </w:r>
                </w:p>
              </w:tc>
            </w:tr>
            <w:tr w:rsidR="00377A50" w:rsidRPr="006713E2" w14:paraId="75904271" w14:textId="77777777" w:rsidTr="008D11D2">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7B97A" w14:textId="77777777" w:rsidR="00377A50" w:rsidRPr="006713E2" w:rsidRDefault="00377A50" w:rsidP="008D11D2">
                  <w:pPr>
                    <w:suppressAutoHyphens/>
                    <w:autoSpaceDN w:val="0"/>
                    <w:jc w:val="center"/>
                    <w:textAlignment w:val="baseline"/>
                    <w:rPr>
                      <w:bCs/>
                      <w:sz w:val="10"/>
                      <w:szCs w:val="18"/>
                    </w:rPr>
                  </w:pPr>
                  <w:r w:rsidRPr="006713E2">
                    <w:rPr>
                      <w:rFonts w:eastAsia="Calibri"/>
                      <w:bCs/>
                      <w:sz w:val="10"/>
                      <w:szCs w:val="18"/>
                    </w:rPr>
                    <w:t>1</w:t>
                  </w:r>
                </w:p>
              </w:tc>
              <w:tc>
                <w:tcPr>
                  <w:tcW w:w="2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8345DA" w14:textId="77777777" w:rsidR="00377A50" w:rsidRPr="006713E2" w:rsidRDefault="00377A50" w:rsidP="008D11D2">
                  <w:pPr>
                    <w:suppressAutoHyphens/>
                    <w:autoSpaceDN w:val="0"/>
                    <w:jc w:val="center"/>
                    <w:textAlignment w:val="baseline"/>
                    <w:rPr>
                      <w:bCs/>
                      <w:sz w:val="10"/>
                      <w:szCs w:val="18"/>
                    </w:rPr>
                  </w:pPr>
                  <w:r w:rsidRPr="006713E2">
                    <w:rPr>
                      <w:rFonts w:eastAsia="Calibri"/>
                      <w:bCs/>
                      <w:sz w:val="10"/>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B8F71" w14:textId="77777777" w:rsidR="00377A50" w:rsidRPr="006713E2" w:rsidRDefault="00377A50" w:rsidP="008D11D2">
                  <w:pPr>
                    <w:suppressAutoHyphens/>
                    <w:autoSpaceDN w:val="0"/>
                    <w:jc w:val="center"/>
                    <w:textAlignment w:val="baseline"/>
                    <w:rPr>
                      <w:sz w:val="10"/>
                      <w:szCs w:val="18"/>
                    </w:rPr>
                  </w:pPr>
                  <w:r w:rsidRPr="006713E2">
                    <w:rPr>
                      <w:rFonts w:eastAsia="Calibri"/>
                      <w:sz w:val="10"/>
                      <w:szCs w:val="18"/>
                    </w:rPr>
                    <w:t>3</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AB452" w14:textId="77777777" w:rsidR="00377A50" w:rsidRPr="006713E2" w:rsidRDefault="00377A50" w:rsidP="008D11D2">
                  <w:pPr>
                    <w:suppressAutoHyphens/>
                    <w:autoSpaceDN w:val="0"/>
                    <w:jc w:val="center"/>
                    <w:textAlignment w:val="baseline"/>
                    <w:rPr>
                      <w:sz w:val="10"/>
                      <w:szCs w:val="18"/>
                    </w:rPr>
                  </w:pPr>
                  <w:r w:rsidRPr="006713E2">
                    <w:rPr>
                      <w:rFonts w:eastAsia="Calibri"/>
                      <w:sz w:val="10"/>
                      <w:szCs w:val="18"/>
                    </w:rPr>
                    <w:t>4</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C49890" w14:textId="77777777" w:rsidR="00377A50" w:rsidRPr="006713E2" w:rsidRDefault="00377A50" w:rsidP="008D11D2">
                  <w:pPr>
                    <w:suppressAutoHyphens/>
                    <w:autoSpaceDN w:val="0"/>
                    <w:jc w:val="center"/>
                    <w:textAlignment w:val="baseline"/>
                    <w:rPr>
                      <w:sz w:val="10"/>
                      <w:szCs w:val="18"/>
                    </w:rPr>
                  </w:pPr>
                  <w:r w:rsidRPr="006713E2">
                    <w:rPr>
                      <w:rFonts w:eastAsia="Calibri"/>
                      <w:sz w:val="10"/>
                      <w:szCs w:val="18"/>
                    </w:rPr>
                    <w:t>5</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1DA001" w14:textId="77777777" w:rsidR="00377A50" w:rsidRPr="006713E2" w:rsidRDefault="00377A50" w:rsidP="008D11D2">
                  <w:pPr>
                    <w:suppressAutoHyphens/>
                    <w:autoSpaceDN w:val="0"/>
                    <w:jc w:val="center"/>
                    <w:textAlignment w:val="baseline"/>
                    <w:rPr>
                      <w:sz w:val="10"/>
                      <w:szCs w:val="18"/>
                    </w:rPr>
                  </w:pPr>
                  <w:r w:rsidRPr="006713E2">
                    <w:rPr>
                      <w:rFonts w:eastAsia="Calibri"/>
                      <w:sz w:val="10"/>
                      <w:szCs w:val="18"/>
                    </w:rPr>
                    <w:t>6</w:t>
                  </w:r>
                </w:p>
              </w:tc>
            </w:tr>
            <w:tr w:rsidR="00301E49" w:rsidRPr="006713E2" w14:paraId="7D1B8DA0" w14:textId="77777777" w:rsidTr="008D11D2">
              <w:trPr>
                <w:trHeight w:val="255"/>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1E176" w14:textId="77777777" w:rsidR="00301E49" w:rsidRPr="00D153D9" w:rsidRDefault="00301E49" w:rsidP="00301E49">
                  <w:pPr>
                    <w:suppressAutoHyphens/>
                    <w:autoSpaceDN w:val="0"/>
                    <w:jc w:val="center"/>
                    <w:textAlignment w:val="baseline"/>
                    <w:rPr>
                      <w:bCs/>
                      <w:sz w:val="20"/>
                      <w:szCs w:val="20"/>
                    </w:rPr>
                  </w:pPr>
                  <w:r w:rsidRPr="00D153D9">
                    <w:rPr>
                      <w:bCs/>
                      <w:sz w:val="20"/>
                      <w:szCs w:val="20"/>
                    </w:rPr>
                    <w:t>3.1.1.2.</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1CF" w14:textId="77777777" w:rsidR="00301E49" w:rsidRPr="00D153D9" w:rsidRDefault="00301E49" w:rsidP="00301E49">
                  <w:pPr>
                    <w:suppressAutoHyphens/>
                    <w:autoSpaceDN w:val="0"/>
                    <w:textAlignment w:val="baseline"/>
                    <w:rPr>
                      <w:bCs/>
                      <w:sz w:val="20"/>
                      <w:szCs w:val="20"/>
                    </w:rPr>
                  </w:pPr>
                  <w:r w:rsidRPr="00D153D9">
                    <w:rPr>
                      <w:bCs/>
                      <w:sz w:val="20"/>
                      <w:szCs w:val="20"/>
                    </w:rPr>
                    <w:t>Skuodo rajono kultūros centro veiklos organizavimo užtikrinimas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9408927" w14:textId="77777777" w:rsidR="00301E49" w:rsidRPr="00D153D9" w:rsidRDefault="00D153D9" w:rsidP="00301E49">
                  <w:pPr>
                    <w:suppressAutoHyphens/>
                    <w:autoSpaceDN w:val="0"/>
                    <w:jc w:val="center"/>
                    <w:textAlignment w:val="baseline"/>
                    <w:rPr>
                      <w:sz w:val="20"/>
                      <w:szCs w:val="20"/>
                    </w:rPr>
                  </w:pPr>
                  <w:r w:rsidRPr="00D153D9">
                    <w:rPr>
                      <w:sz w:val="20"/>
                      <w:szCs w:val="20"/>
                    </w:rPr>
                    <w:t>341,1</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BDA66D2" w14:textId="77777777" w:rsidR="00301E49" w:rsidRPr="00D153D9" w:rsidRDefault="00D153D9" w:rsidP="00301E49">
                  <w:pPr>
                    <w:suppressAutoHyphens/>
                    <w:autoSpaceDN w:val="0"/>
                    <w:jc w:val="center"/>
                    <w:textAlignment w:val="baseline"/>
                    <w:rPr>
                      <w:sz w:val="20"/>
                      <w:szCs w:val="20"/>
                    </w:rPr>
                  </w:pPr>
                  <w:r w:rsidRPr="00D153D9">
                    <w:rPr>
                      <w:sz w:val="20"/>
                      <w:szCs w:val="20"/>
                    </w:rPr>
                    <w:t>341,1</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4A77555" w14:textId="77777777" w:rsidR="00301E49" w:rsidRPr="00D153D9" w:rsidRDefault="00D153D9" w:rsidP="00301E49">
                  <w:pPr>
                    <w:suppressAutoHyphens/>
                    <w:autoSpaceDN w:val="0"/>
                    <w:jc w:val="center"/>
                    <w:textAlignment w:val="baseline"/>
                    <w:rPr>
                      <w:sz w:val="20"/>
                      <w:szCs w:val="20"/>
                    </w:rPr>
                  </w:pPr>
                  <w:r w:rsidRPr="00D153D9">
                    <w:rPr>
                      <w:sz w:val="20"/>
                      <w:szCs w:val="20"/>
                    </w:rPr>
                    <w:t>340,1</w:t>
                  </w:r>
                </w:p>
                <w:p w14:paraId="074D1F11" w14:textId="77777777" w:rsidR="00D153D9" w:rsidRPr="00D153D9" w:rsidRDefault="00D153D9" w:rsidP="00301E49">
                  <w:pPr>
                    <w:suppressAutoHyphens/>
                    <w:autoSpaceDN w:val="0"/>
                    <w:jc w:val="center"/>
                    <w:textAlignment w:val="baseline"/>
                    <w:rPr>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34AD72D8" w14:textId="77777777" w:rsidR="00301E49" w:rsidRPr="00D153D9" w:rsidRDefault="00D153D9" w:rsidP="00301E49">
                  <w:pPr>
                    <w:suppressAutoHyphens/>
                    <w:autoSpaceDN w:val="0"/>
                    <w:jc w:val="center"/>
                    <w:textAlignment w:val="baseline"/>
                    <w:rPr>
                      <w:sz w:val="20"/>
                      <w:szCs w:val="20"/>
                    </w:rPr>
                  </w:pPr>
                  <w:r w:rsidRPr="00D153D9">
                    <w:rPr>
                      <w:sz w:val="20"/>
                      <w:szCs w:val="20"/>
                    </w:rPr>
                    <w:t>99,71</w:t>
                  </w:r>
                </w:p>
              </w:tc>
            </w:tr>
            <w:tr w:rsidR="00377A50" w:rsidRPr="006713E2" w14:paraId="79539611" w14:textId="77777777" w:rsidTr="008D11D2">
              <w:tc>
                <w:tcPr>
                  <w:tcW w:w="3686" w:type="dxa"/>
                  <w:gridSpan w:val="2"/>
                  <w:tcBorders>
                    <w:top w:val="single" w:sz="4" w:space="0" w:color="auto"/>
                    <w:left w:val="single" w:sz="4" w:space="0" w:color="auto"/>
                    <w:bottom w:val="single" w:sz="4" w:space="0" w:color="auto"/>
                    <w:right w:val="single" w:sz="4" w:space="0" w:color="auto"/>
                  </w:tcBorders>
                  <w:hideMark/>
                </w:tcPr>
                <w:p w14:paraId="25152611" w14:textId="77777777" w:rsidR="00377A50" w:rsidRPr="006713E2" w:rsidRDefault="00377A50" w:rsidP="008D11D2">
                  <w:pPr>
                    <w:suppressAutoHyphens/>
                    <w:autoSpaceDN w:val="0"/>
                    <w:textAlignment w:val="baseline"/>
                    <w:rPr>
                      <w:bCs/>
                      <w:i/>
                      <w:sz w:val="18"/>
                      <w:szCs w:val="18"/>
                    </w:rPr>
                  </w:pPr>
                  <w:r w:rsidRPr="006713E2">
                    <w:rPr>
                      <w:rFonts w:eastAsia="Calibri"/>
                      <w:bCs/>
                      <w:i/>
                      <w:sz w:val="18"/>
                      <w:szCs w:val="18"/>
                    </w:rPr>
                    <w:t>Iš jų ES ir kita tarptautinė finansinė parama</w:t>
                  </w:r>
                </w:p>
              </w:tc>
              <w:tc>
                <w:tcPr>
                  <w:tcW w:w="1275" w:type="dxa"/>
                  <w:tcBorders>
                    <w:top w:val="single" w:sz="4" w:space="0" w:color="auto"/>
                    <w:left w:val="single" w:sz="4" w:space="0" w:color="auto"/>
                    <w:bottom w:val="single" w:sz="4" w:space="0" w:color="auto"/>
                    <w:right w:val="single" w:sz="4" w:space="0" w:color="auto"/>
                  </w:tcBorders>
                </w:tcPr>
                <w:p w14:paraId="3762263B" w14:textId="77777777" w:rsidR="00377A50" w:rsidRPr="006713E2" w:rsidRDefault="00377A50" w:rsidP="008D11D2">
                  <w:pPr>
                    <w:suppressAutoHyphens/>
                    <w:autoSpaceDN w:val="0"/>
                    <w:jc w:val="center"/>
                    <w:textAlignment w:val="baseline"/>
                    <w:rPr>
                      <w:sz w:val="18"/>
                      <w:szCs w:val="18"/>
                    </w:rPr>
                  </w:pPr>
                </w:p>
              </w:tc>
              <w:tc>
                <w:tcPr>
                  <w:tcW w:w="1278" w:type="dxa"/>
                  <w:tcBorders>
                    <w:top w:val="single" w:sz="4" w:space="0" w:color="auto"/>
                    <w:left w:val="single" w:sz="4" w:space="0" w:color="auto"/>
                    <w:bottom w:val="single" w:sz="4" w:space="0" w:color="auto"/>
                    <w:right w:val="single" w:sz="4" w:space="0" w:color="auto"/>
                  </w:tcBorders>
                </w:tcPr>
                <w:p w14:paraId="4B6166EC" w14:textId="77777777" w:rsidR="00377A50" w:rsidRPr="006713E2" w:rsidRDefault="00377A50" w:rsidP="008D11D2">
                  <w:pPr>
                    <w:suppressAutoHyphens/>
                    <w:autoSpaceDN w:val="0"/>
                    <w:jc w:val="center"/>
                    <w:textAlignment w:val="baseline"/>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72B63C21" w14:textId="77777777" w:rsidR="00377A50" w:rsidRPr="006713E2" w:rsidRDefault="00377A50" w:rsidP="008D11D2">
                  <w:pPr>
                    <w:suppressAutoHyphens/>
                    <w:autoSpaceDN w:val="0"/>
                    <w:jc w:val="center"/>
                    <w:textAlignment w:val="baseline"/>
                    <w:rPr>
                      <w:sz w:val="18"/>
                      <w:szCs w:val="18"/>
                    </w:rPr>
                  </w:pPr>
                </w:p>
              </w:tc>
              <w:tc>
                <w:tcPr>
                  <w:tcW w:w="1844" w:type="dxa"/>
                  <w:tcBorders>
                    <w:top w:val="single" w:sz="4" w:space="0" w:color="auto"/>
                    <w:left w:val="single" w:sz="4" w:space="0" w:color="auto"/>
                    <w:bottom w:val="single" w:sz="4" w:space="0" w:color="auto"/>
                    <w:right w:val="single" w:sz="4" w:space="0" w:color="auto"/>
                  </w:tcBorders>
                </w:tcPr>
                <w:p w14:paraId="542DBA5E" w14:textId="77777777" w:rsidR="00377A50" w:rsidRPr="006713E2" w:rsidRDefault="00377A50" w:rsidP="008D11D2">
                  <w:pPr>
                    <w:suppressAutoHyphens/>
                    <w:autoSpaceDN w:val="0"/>
                    <w:jc w:val="center"/>
                    <w:textAlignment w:val="baseline"/>
                    <w:rPr>
                      <w:sz w:val="18"/>
                      <w:szCs w:val="18"/>
                    </w:rPr>
                  </w:pPr>
                </w:p>
              </w:tc>
            </w:tr>
            <w:tr w:rsidR="00377A50" w:rsidRPr="006713E2" w14:paraId="3B9C7771" w14:textId="77777777" w:rsidTr="008D11D2">
              <w:trPr>
                <w:trHeight w:val="274"/>
              </w:trPr>
              <w:tc>
                <w:tcPr>
                  <w:tcW w:w="879" w:type="dxa"/>
                  <w:tcBorders>
                    <w:top w:val="single" w:sz="4" w:space="0" w:color="auto"/>
                    <w:left w:val="single" w:sz="4" w:space="0" w:color="auto"/>
                    <w:bottom w:val="single" w:sz="4" w:space="0" w:color="auto"/>
                    <w:right w:val="single" w:sz="4" w:space="0" w:color="auto"/>
                  </w:tcBorders>
                </w:tcPr>
                <w:p w14:paraId="16B0F5ED" w14:textId="77777777" w:rsidR="00377A50" w:rsidRPr="006713E2" w:rsidRDefault="00377A50" w:rsidP="008D11D2">
                  <w:pPr>
                    <w:suppressAutoHyphens/>
                    <w:autoSpaceDN w:val="0"/>
                    <w:jc w:val="both"/>
                    <w:textAlignment w:val="baseline"/>
                    <w:rPr>
                      <w:bCs/>
                      <w:sz w:val="18"/>
                      <w:szCs w:val="18"/>
                    </w:rPr>
                  </w:pPr>
                </w:p>
              </w:tc>
              <w:tc>
                <w:tcPr>
                  <w:tcW w:w="2807" w:type="dxa"/>
                  <w:tcBorders>
                    <w:top w:val="single" w:sz="4" w:space="0" w:color="auto"/>
                    <w:left w:val="single" w:sz="4" w:space="0" w:color="auto"/>
                    <w:bottom w:val="single" w:sz="4" w:space="0" w:color="auto"/>
                    <w:right w:val="single" w:sz="4" w:space="0" w:color="auto"/>
                  </w:tcBorders>
                </w:tcPr>
                <w:p w14:paraId="1DD7405E" w14:textId="77777777" w:rsidR="00377A50" w:rsidRPr="006713E2" w:rsidRDefault="00377A50" w:rsidP="008D11D2">
                  <w:pPr>
                    <w:suppressAutoHyphens/>
                    <w:autoSpaceDN w:val="0"/>
                    <w:jc w:val="both"/>
                    <w:textAlignment w:val="baseline"/>
                    <w:rPr>
                      <w:bC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5CD239F" w14:textId="77777777" w:rsidR="00377A50" w:rsidRPr="006713E2" w:rsidRDefault="00377A50" w:rsidP="008D11D2">
                  <w:pPr>
                    <w:suppressAutoHyphens/>
                    <w:autoSpaceDN w:val="0"/>
                    <w:jc w:val="center"/>
                    <w:textAlignment w:val="baseline"/>
                    <w:rPr>
                      <w:sz w:val="18"/>
                      <w:szCs w:val="18"/>
                    </w:rPr>
                  </w:pPr>
                </w:p>
              </w:tc>
              <w:tc>
                <w:tcPr>
                  <w:tcW w:w="1278" w:type="dxa"/>
                  <w:tcBorders>
                    <w:top w:val="single" w:sz="4" w:space="0" w:color="auto"/>
                    <w:left w:val="single" w:sz="4" w:space="0" w:color="auto"/>
                    <w:bottom w:val="single" w:sz="4" w:space="0" w:color="auto"/>
                    <w:right w:val="single" w:sz="4" w:space="0" w:color="auto"/>
                  </w:tcBorders>
                </w:tcPr>
                <w:p w14:paraId="09DC83ED" w14:textId="77777777" w:rsidR="00377A50" w:rsidRPr="006713E2" w:rsidRDefault="00377A50" w:rsidP="008D11D2">
                  <w:pPr>
                    <w:suppressAutoHyphens/>
                    <w:autoSpaceDN w:val="0"/>
                    <w:jc w:val="center"/>
                    <w:textAlignment w:val="baseline"/>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6BBDC38E" w14:textId="77777777" w:rsidR="00377A50" w:rsidRPr="006713E2" w:rsidRDefault="00377A50" w:rsidP="008D11D2">
                  <w:pPr>
                    <w:suppressAutoHyphens/>
                    <w:autoSpaceDN w:val="0"/>
                    <w:jc w:val="center"/>
                    <w:textAlignment w:val="baseline"/>
                    <w:rPr>
                      <w:sz w:val="18"/>
                      <w:szCs w:val="18"/>
                    </w:rPr>
                  </w:pPr>
                </w:p>
              </w:tc>
              <w:tc>
                <w:tcPr>
                  <w:tcW w:w="1844" w:type="dxa"/>
                  <w:tcBorders>
                    <w:top w:val="single" w:sz="4" w:space="0" w:color="auto"/>
                    <w:left w:val="single" w:sz="4" w:space="0" w:color="auto"/>
                    <w:bottom w:val="single" w:sz="4" w:space="0" w:color="auto"/>
                    <w:right w:val="single" w:sz="4" w:space="0" w:color="auto"/>
                  </w:tcBorders>
                </w:tcPr>
                <w:p w14:paraId="6A042215" w14:textId="77777777" w:rsidR="00377A50" w:rsidRPr="006713E2" w:rsidRDefault="00377A50" w:rsidP="008D11D2">
                  <w:pPr>
                    <w:suppressAutoHyphens/>
                    <w:autoSpaceDN w:val="0"/>
                    <w:jc w:val="center"/>
                    <w:textAlignment w:val="baseline"/>
                    <w:rPr>
                      <w:sz w:val="18"/>
                      <w:szCs w:val="18"/>
                    </w:rPr>
                  </w:pPr>
                </w:p>
              </w:tc>
            </w:tr>
          </w:tbl>
          <w:p w14:paraId="7C9EEE88" w14:textId="77777777" w:rsidR="00377A50" w:rsidRPr="006713E2" w:rsidRDefault="00377A50" w:rsidP="008D11D2">
            <w:pPr>
              <w:suppressAutoHyphens/>
              <w:autoSpaceDN w:val="0"/>
              <w:jc w:val="both"/>
              <w:textAlignment w:val="baseline"/>
              <w:rPr>
                <w:rFonts w:eastAsia="Calibri"/>
                <w:bCs/>
                <w:sz w:val="16"/>
                <w:szCs w:val="16"/>
              </w:rPr>
            </w:pPr>
            <w:r w:rsidRPr="006713E2">
              <w:rPr>
                <w:rFonts w:eastAsia="Calibri"/>
                <w:bCs/>
                <w:sz w:val="16"/>
                <w:szCs w:val="16"/>
              </w:rPr>
              <w:t>* Jeigu asignavimų plane, įskaitant patikslinimus ataskaitiniam laikotarpiui, asignavimai didėja ar mažėja daugiau nei 5 proc. lyginant su asignavimais, nurodytais asignavimų plane, to priežastys trumpai paaiškinamos po lentele. Paaiškinimai pateikiami dėl patikslintų asignavimų programos lygiu.</w:t>
            </w:r>
          </w:p>
          <w:p w14:paraId="7831D85B" w14:textId="77777777" w:rsidR="00377A50" w:rsidRPr="006713E2" w:rsidRDefault="00377A50" w:rsidP="008D11D2">
            <w:pPr>
              <w:suppressAutoHyphens/>
              <w:autoSpaceDN w:val="0"/>
              <w:jc w:val="both"/>
              <w:textAlignment w:val="baseline"/>
              <w:rPr>
                <w:rFonts w:eastAsia="Calibri"/>
                <w:bCs/>
                <w:sz w:val="16"/>
                <w:szCs w:val="16"/>
              </w:rPr>
            </w:pPr>
            <w:r w:rsidRPr="006713E2">
              <w:rPr>
                <w:rFonts w:eastAsia="Calibri"/>
                <w:bCs/>
                <w:sz w:val="16"/>
                <w:szCs w:val="16"/>
              </w:rPr>
              <w:t>** Jeigu asignavimų panaudojimo procento nuokrypiai viršija 10 proc., jie ir jų priežastys trumpai paaiškinami po lentele.</w:t>
            </w:r>
          </w:p>
          <w:p w14:paraId="2B460C21" w14:textId="77777777" w:rsidR="00377A50" w:rsidRPr="006713E2" w:rsidRDefault="00377A50" w:rsidP="008D11D2">
            <w:pPr>
              <w:suppressAutoHyphens/>
              <w:autoSpaceDN w:val="0"/>
              <w:textAlignment w:val="baseline"/>
              <w:rPr>
                <w:i/>
                <w:sz w:val="20"/>
                <w:szCs w:val="22"/>
              </w:rPr>
            </w:pPr>
          </w:p>
        </w:tc>
      </w:tr>
      <w:tr w:rsidR="00377A50" w:rsidRPr="006713E2" w14:paraId="3E091703" w14:textId="77777777" w:rsidTr="008D11D2">
        <w:trPr>
          <w:trHeight w:val="230"/>
        </w:trPr>
        <w:tc>
          <w:tcPr>
            <w:tcW w:w="9639" w:type="dxa"/>
            <w:tcBorders>
              <w:top w:val="nil"/>
              <w:left w:val="single" w:sz="4" w:space="0" w:color="auto"/>
              <w:bottom w:val="single" w:sz="4" w:space="0" w:color="auto"/>
              <w:right w:val="single" w:sz="4" w:space="0" w:color="auto"/>
            </w:tcBorders>
          </w:tcPr>
          <w:p w14:paraId="3470BD70" w14:textId="7FDC31A8" w:rsidR="00377A50" w:rsidRPr="00C65D42" w:rsidRDefault="00377A50" w:rsidP="008D11D2">
            <w:pPr>
              <w:suppressAutoHyphens/>
              <w:autoSpaceDN w:val="0"/>
              <w:jc w:val="both"/>
              <w:textAlignment w:val="baseline"/>
              <w:rPr>
                <w:i/>
                <w:sz w:val="20"/>
                <w:szCs w:val="22"/>
              </w:rPr>
            </w:pPr>
            <w:r w:rsidRPr="00C65D42">
              <w:rPr>
                <w:rFonts w:eastAsia="Calibri"/>
                <w:i/>
                <w:sz w:val="20"/>
                <w:szCs w:val="22"/>
              </w:rPr>
              <w:lastRenderedPageBreak/>
              <w:t>Po lentele</w:t>
            </w:r>
            <w:r w:rsidR="00194FB8">
              <w:rPr>
                <w:rFonts w:eastAsia="Calibri"/>
                <w:i/>
                <w:sz w:val="20"/>
                <w:szCs w:val="22"/>
              </w:rPr>
              <w:t>,</w:t>
            </w:r>
            <w:r w:rsidRPr="00C65D42">
              <w:rPr>
                <w:rFonts w:eastAsia="Calibri"/>
                <w:i/>
                <w:sz w:val="20"/>
                <w:szCs w:val="22"/>
              </w:rPr>
              <w:t xml:space="preserve"> grafiku iliustruojama informacija apie tikslo pažangai matuoti nustatytų rezultato vertinimo kriterijų planuotas ir pasiektas reikšmes pagal 1 grafike nurodytą formatą, kai n – ataskaitiniai metai. Jei duomenų apie n metų reikšmes dar nėra, nurodomos tik n – 2 ir (arba) n</w:t>
            </w:r>
            <w:r w:rsidRPr="00C65D42">
              <w:rPr>
                <w:rFonts w:eastAsia="Calibri"/>
                <w:sz w:val="20"/>
                <w:szCs w:val="22"/>
              </w:rPr>
              <w:t xml:space="preserve"> </w:t>
            </w:r>
            <w:r w:rsidRPr="00C65D42">
              <w:rPr>
                <w:rFonts w:eastAsia="Calibri"/>
                <w:i/>
                <w:sz w:val="20"/>
                <w:szCs w:val="22"/>
              </w:rPr>
              <w:t>– 1 metais pasiektos reikšmės ir pateikiamas paaiškinimas, kodėl atitinkamų metų pasiektos reikšmės nėra nurodomos. Kiekvienas rezultato vertinimo kriterijus iliustruojamas atskiru grafiku.</w:t>
            </w:r>
          </w:p>
          <w:p w14:paraId="64203CD7" w14:textId="77777777" w:rsidR="00377A50" w:rsidRPr="00C65D42" w:rsidRDefault="00377A50" w:rsidP="008D11D2">
            <w:pPr>
              <w:suppressAutoHyphens/>
              <w:autoSpaceDN w:val="0"/>
              <w:jc w:val="both"/>
              <w:textAlignment w:val="baseline"/>
              <w:rPr>
                <w:rFonts w:eastAsia="Calibri"/>
                <w:b/>
                <w:sz w:val="12"/>
              </w:rPr>
            </w:pPr>
          </w:p>
          <w:p w14:paraId="43CAE510" w14:textId="27A63E14" w:rsidR="00377A50" w:rsidRPr="006713E2" w:rsidRDefault="00377A50" w:rsidP="006E0E5B">
            <w:pPr>
              <w:suppressAutoHyphens/>
              <w:autoSpaceDN w:val="0"/>
              <w:textAlignment w:val="baseline"/>
              <w:rPr>
                <w:rFonts w:eastAsia="Calibri"/>
                <w:sz w:val="22"/>
              </w:rPr>
            </w:pPr>
            <w:r w:rsidRPr="006713E2">
              <w:rPr>
                <w:rFonts w:eastAsia="Calibri"/>
                <w:b/>
                <w:i/>
                <w:sz w:val="20"/>
              </w:rPr>
              <w:t>1 grafikas.</w:t>
            </w:r>
            <w:r w:rsidRPr="006713E2">
              <w:rPr>
                <w:rFonts w:eastAsia="Calibri"/>
                <w:b/>
                <w:sz w:val="20"/>
              </w:rPr>
              <w:t xml:space="preserve"> </w:t>
            </w:r>
            <w:r w:rsidR="006E0E5B" w:rsidRPr="006E0E5B">
              <w:rPr>
                <w:rFonts w:eastAsia="Calibri"/>
                <w:i/>
                <w:sz w:val="20"/>
              </w:rPr>
              <w:t>Renginių, kurie skirti platesnei nei rajono auditorijai, dalis, proc</w:t>
            </w:r>
            <w:r w:rsidR="009D2779">
              <w:rPr>
                <w:rFonts w:eastAsia="Calibri"/>
                <w:i/>
                <w:sz w:val="20"/>
              </w:rPr>
              <w:t>.</w:t>
            </w:r>
            <w:r w:rsidR="006E0E5B" w:rsidRPr="006E0E5B">
              <w:rPr>
                <w:rFonts w:eastAsia="Calibri"/>
                <w:i/>
                <w:sz w:val="20"/>
              </w:rPr>
              <w:t xml:space="preserve"> </w:t>
            </w:r>
            <w:r w:rsidRPr="006713E2">
              <w:rPr>
                <w:rFonts w:eastAsia="Calibri"/>
                <w:noProof/>
                <w:sz w:val="22"/>
                <w:szCs w:val="22"/>
              </w:rPr>
              <w:drawing>
                <wp:inline distT="0" distB="0" distL="0" distR="0" wp14:anchorId="33A9E43D" wp14:editId="17A5CF74">
                  <wp:extent cx="5715000" cy="1447800"/>
                  <wp:effectExtent l="0" t="0" r="19050" b="19050"/>
                  <wp:docPr id="2" name="Objekta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C2724C" w14:textId="77777777" w:rsidR="000E7F24" w:rsidRPr="00C65D42" w:rsidRDefault="000E7F24" w:rsidP="008D11D2">
            <w:pPr>
              <w:suppressAutoHyphens/>
              <w:autoSpaceDN w:val="0"/>
              <w:textAlignment w:val="baseline"/>
              <w:rPr>
                <w:rFonts w:eastAsia="Calibri"/>
                <w:i/>
                <w:sz w:val="10"/>
              </w:rPr>
            </w:pPr>
          </w:p>
          <w:p w14:paraId="13A7C57F" w14:textId="294FB332" w:rsidR="002B3A3E" w:rsidRPr="006822CB" w:rsidRDefault="002B3A3E" w:rsidP="00DE0C31">
            <w:pPr>
              <w:suppressAutoHyphens/>
              <w:autoSpaceDN w:val="0"/>
              <w:jc w:val="both"/>
              <w:textAlignment w:val="baseline"/>
              <w:rPr>
                <w:rFonts w:eastAsia="Calibri"/>
                <w:sz w:val="22"/>
              </w:rPr>
            </w:pPr>
            <w:r w:rsidRPr="006822CB">
              <w:rPr>
                <w:rFonts w:eastAsia="Calibri"/>
                <w:sz w:val="22"/>
              </w:rPr>
              <w:t>Kultūros centras savo renginius, projektus b</w:t>
            </w:r>
            <w:r w:rsidR="000C0E61" w:rsidRPr="006822CB">
              <w:rPr>
                <w:rFonts w:eastAsia="Calibri"/>
                <w:sz w:val="22"/>
              </w:rPr>
              <w:t>ei iniciatyvas pirmiausia rengia</w:t>
            </w:r>
            <w:r w:rsidRPr="006822CB">
              <w:rPr>
                <w:rFonts w:eastAsia="Calibri"/>
                <w:sz w:val="22"/>
              </w:rPr>
              <w:t xml:space="preserve"> miesto ir rajono gyventojams. Tačiau, žvelgiant į 1 grafiką bei remiantis statistiniais duomenimis, labai džiaugiamės, kad daug mūsų renginių aplanko ir už rajono ribų gyvenantys asmenys. Didžioji dalis lankytojų</w:t>
            </w:r>
            <w:r w:rsidR="00194FB8">
              <w:rPr>
                <w:rFonts w:eastAsia="Calibri"/>
                <w:sz w:val="22"/>
              </w:rPr>
              <w:t xml:space="preserve"> </w:t>
            </w:r>
            <w:r w:rsidRPr="006822CB">
              <w:rPr>
                <w:rFonts w:eastAsia="Calibri"/>
                <w:sz w:val="22"/>
              </w:rPr>
              <w:t>/</w:t>
            </w:r>
            <w:r w:rsidR="00194FB8">
              <w:rPr>
                <w:rFonts w:eastAsia="Calibri"/>
                <w:sz w:val="22"/>
              </w:rPr>
              <w:t xml:space="preserve"> </w:t>
            </w:r>
            <w:r w:rsidRPr="006822CB">
              <w:rPr>
                <w:rFonts w:eastAsia="Calibri"/>
                <w:sz w:val="22"/>
              </w:rPr>
              <w:t>žiūrovų lankosi lauko, vasaros renginiuose, didesniuose festivaliuose. Neišskirtiniai</w:t>
            </w:r>
            <w:r w:rsidR="000C0E61" w:rsidRPr="006822CB">
              <w:rPr>
                <w:rFonts w:eastAsia="Calibri"/>
                <w:sz w:val="22"/>
              </w:rPr>
              <w:t>s tampa</w:t>
            </w:r>
            <w:r w:rsidRPr="006822CB">
              <w:rPr>
                <w:rFonts w:eastAsia="Calibri"/>
                <w:sz w:val="22"/>
              </w:rPr>
              <w:t xml:space="preserve"> ir komercin</w:t>
            </w:r>
            <w:r w:rsidR="000C0E61" w:rsidRPr="006822CB">
              <w:rPr>
                <w:rFonts w:eastAsia="Calibri"/>
                <w:sz w:val="22"/>
              </w:rPr>
              <w:t>iai ar kameriniai renginiai,  vis dažniau jais</w:t>
            </w:r>
            <w:r w:rsidRPr="006822CB">
              <w:rPr>
                <w:rFonts w:eastAsia="Calibri"/>
                <w:sz w:val="22"/>
              </w:rPr>
              <w:t xml:space="preserve"> susidomi ir kit</w:t>
            </w:r>
            <w:r w:rsidR="00194FB8">
              <w:rPr>
                <w:rFonts w:eastAsia="Calibri"/>
                <w:sz w:val="22"/>
              </w:rPr>
              <w:t>u</w:t>
            </w:r>
            <w:r w:rsidRPr="006822CB">
              <w:rPr>
                <w:rFonts w:eastAsia="Calibri"/>
                <w:sz w:val="22"/>
              </w:rPr>
              <w:t>ose rajonuose gyvenantys asmenys.</w:t>
            </w:r>
            <w:r w:rsidR="000C0E61" w:rsidRPr="006822CB">
              <w:rPr>
                <w:rFonts w:eastAsia="Calibri"/>
                <w:sz w:val="22"/>
              </w:rPr>
              <w:t xml:space="preserve"> Tokį faktą galėtų įtakoti tinkamas renginio laikas, </w:t>
            </w:r>
            <w:r w:rsidR="00C81F0F" w:rsidRPr="006822CB">
              <w:rPr>
                <w:rFonts w:eastAsia="Calibri"/>
                <w:sz w:val="22"/>
              </w:rPr>
              <w:t xml:space="preserve">kokybiškas </w:t>
            </w:r>
            <w:r w:rsidR="000C0E61" w:rsidRPr="006822CB">
              <w:rPr>
                <w:rFonts w:eastAsia="Calibri"/>
                <w:sz w:val="22"/>
              </w:rPr>
              <w:t>programos parinkimas,</w:t>
            </w:r>
            <w:r w:rsidR="00C81F0F" w:rsidRPr="006822CB">
              <w:rPr>
                <w:rFonts w:eastAsia="Calibri"/>
                <w:sz w:val="22"/>
              </w:rPr>
              <w:t xml:space="preserve"> organizuotumas,</w:t>
            </w:r>
            <w:r w:rsidR="000C0E61" w:rsidRPr="006822CB">
              <w:rPr>
                <w:rFonts w:eastAsia="Calibri"/>
                <w:sz w:val="22"/>
              </w:rPr>
              <w:t xml:space="preserve"> patogi lokacija ir pan. Būtent</w:t>
            </w:r>
            <w:r w:rsidR="00C81F0F" w:rsidRPr="006822CB">
              <w:rPr>
                <w:rFonts w:eastAsia="Calibri"/>
                <w:sz w:val="22"/>
              </w:rPr>
              <w:t xml:space="preserve"> 2020 metų pakilimą įtakojo pandemija, nes</w:t>
            </w:r>
            <w:r w:rsidRPr="006822CB">
              <w:rPr>
                <w:rFonts w:eastAsia="Calibri"/>
                <w:sz w:val="22"/>
              </w:rPr>
              <w:t xml:space="preserve"> didžioji </w:t>
            </w:r>
            <w:r w:rsidR="00194FB8">
              <w:rPr>
                <w:rFonts w:eastAsia="Calibri"/>
                <w:sz w:val="22"/>
              </w:rPr>
              <w:t xml:space="preserve">dalis </w:t>
            </w:r>
            <w:r w:rsidRPr="006822CB">
              <w:rPr>
                <w:rFonts w:eastAsia="Calibri"/>
                <w:sz w:val="22"/>
              </w:rPr>
              <w:t xml:space="preserve">mūsų veiklų, vaizdo renginių, atrakcijų persikėlė į socialinius tinklus. </w:t>
            </w:r>
            <w:r w:rsidR="000C0E61" w:rsidRPr="006822CB">
              <w:rPr>
                <w:rFonts w:eastAsia="Calibri"/>
                <w:sz w:val="22"/>
              </w:rPr>
              <w:t>Tai gali</w:t>
            </w:r>
            <w:r w:rsidR="00C81F0F" w:rsidRPr="006822CB">
              <w:rPr>
                <w:rFonts w:eastAsia="Calibri"/>
                <w:sz w:val="22"/>
              </w:rPr>
              <w:t>ma</w:t>
            </w:r>
            <w:r w:rsidR="000C0E61" w:rsidRPr="006822CB">
              <w:rPr>
                <w:rFonts w:eastAsia="Calibri"/>
                <w:sz w:val="22"/>
              </w:rPr>
              <w:t xml:space="preserve"> matyti </w:t>
            </w:r>
            <w:r w:rsidR="00F61239" w:rsidRPr="006822CB">
              <w:rPr>
                <w:rFonts w:eastAsia="Calibri"/>
                <w:sz w:val="22"/>
              </w:rPr>
              <w:t xml:space="preserve">ir </w:t>
            </w:r>
            <w:r w:rsidR="000C0E61" w:rsidRPr="006822CB">
              <w:rPr>
                <w:rFonts w:eastAsia="Calibri"/>
                <w:sz w:val="22"/>
              </w:rPr>
              <w:t>iš d</w:t>
            </w:r>
            <w:r w:rsidRPr="006822CB">
              <w:rPr>
                <w:rFonts w:eastAsia="Calibri"/>
                <w:sz w:val="22"/>
              </w:rPr>
              <w:t>ideli</w:t>
            </w:r>
            <w:r w:rsidR="000C0E61" w:rsidRPr="006822CB">
              <w:rPr>
                <w:rFonts w:eastAsia="Calibri"/>
                <w:sz w:val="22"/>
              </w:rPr>
              <w:t>ų</w:t>
            </w:r>
            <w:r w:rsidRPr="006822CB">
              <w:rPr>
                <w:rFonts w:eastAsia="Calibri"/>
                <w:sz w:val="22"/>
              </w:rPr>
              <w:t xml:space="preserve"> peržiūrų</w:t>
            </w:r>
            <w:r w:rsidR="00851C98" w:rsidRPr="006822CB">
              <w:rPr>
                <w:rFonts w:eastAsia="Calibri"/>
                <w:sz w:val="22"/>
              </w:rPr>
              <w:t xml:space="preserve"> skaičių,</w:t>
            </w:r>
            <w:r w:rsidR="000C0E61" w:rsidRPr="006822CB">
              <w:rPr>
                <w:rFonts w:eastAsia="Calibri"/>
                <w:sz w:val="22"/>
              </w:rPr>
              <w:t xml:space="preserve"> pasidalinimų.</w:t>
            </w:r>
          </w:p>
          <w:p w14:paraId="26506497" w14:textId="77777777" w:rsidR="00E06654" w:rsidRPr="00E06654" w:rsidRDefault="00E06654" w:rsidP="00E06654">
            <w:pPr>
              <w:suppressAutoHyphens/>
              <w:autoSpaceDN w:val="0"/>
              <w:textAlignment w:val="baseline"/>
              <w:rPr>
                <w:rFonts w:eastAsia="Calibri"/>
                <w:i/>
                <w:sz w:val="20"/>
              </w:rPr>
            </w:pPr>
          </w:p>
          <w:p w14:paraId="752FCB52" w14:textId="77777777" w:rsidR="00E06654" w:rsidRDefault="00E06654" w:rsidP="008D11D2">
            <w:pPr>
              <w:suppressAutoHyphens/>
              <w:autoSpaceDN w:val="0"/>
              <w:textAlignment w:val="baseline"/>
              <w:rPr>
                <w:rFonts w:eastAsia="Calibri"/>
                <w:i/>
                <w:sz w:val="20"/>
              </w:rPr>
            </w:pPr>
            <w:r w:rsidRPr="00E06654">
              <w:rPr>
                <w:rFonts w:eastAsia="Calibri"/>
                <w:b/>
                <w:i/>
                <w:sz w:val="20"/>
              </w:rPr>
              <w:t>2 grafikas.</w:t>
            </w:r>
            <w:r w:rsidRPr="00E06654">
              <w:rPr>
                <w:rFonts w:eastAsia="Calibri"/>
                <w:i/>
                <w:sz w:val="20"/>
              </w:rPr>
              <w:t xml:space="preserve"> </w:t>
            </w:r>
            <w:r w:rsidR="006E0E5B" w:rsidRPr="006E0E5B">
              <w:rPr>
                <w:rFonts w:eastAsia="Calibri"/>
                <w:i/>
                <w:sz w:val="20"/>
              </w:rPr>
              <w:t>Iniciatyvų,  įgyvendintų bendradarbiaujant kultūros įstaigoms tarpusavyje, skaičius</w:t>
            </w:r>
          </w:p>
          <w:p w14:paraId="4597FA28" w14:textId="77777777" w:rsidR="00E06654" w:rsidRDefault="00E06654" w:rsidP="008D11D2">
            <w:pPr>
              <w:suppressAutoHyphens/>
              <w:autoSpaceDN w:val="0"/>
              <w:textAlignment w:val="baseline"/>
              <w:rPr>
                <w:rFonts w:eastAsia="Calibri"/>
                <w:sz w:val="20"/>
                <w:szCs w:val="22"/>
              </w:rPr>
            </w:pPr>
            <w:r w:rsidRPr="006713E2">
              <w:rPr>
                <w:rFonts w:eastAsia="Calibri"/>
                <w:noProof/>
                <w:sz w:val="22"/>
                <w:szCs w:val="22"/>
              </w:rPr>
              <w:drawing>
                <wp:inline distT="0" distB="0" distL="0" distR="0" wp14:anchorId="4F146011" wp14:editId="5BB65E97">
                  <wp:extent cx="5715000" cy="1447800"/>
                  <wp:effectExtent l="0" t="0" r="19050" b="19050"/>
                  <wp:docPr id="3" name="Objekta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64A3A0" w14:textId="77777777" w:rsidR="006822CB" w:rsidRDefault="006822CB" w:rsidP="008D11D2">
            <w:pPr>
              <w:suppressAutoHyphens/>
              <w:autoSpaceDN w:val="0"/>
              <w:textAlignment w:val="baseline"/>
              <w:rPr>
                <w:rFonts w:eastAsia="Calibri"/>
                <w:sz w:val="22"/>
                <w:szCs w:val="22"/>
              </w:rPr>
            </w:pPr>
          </w:p>
          <w:p w14:paraId="19E61BD3" w14:textId="619EBFC3" w:rsidR="00C65D42" w:rsidRPr="006822CB" w:rsidRDefault="00851C98" w:rsidP="00DE0C31">
            <w:pPr>
              <w:suppressAutoHyphens/>
              <w:autoSpaceDN w:val="0"/>
              <w:jc w:val="both"/>
              <w:textAlignment w:val="baseline"/>
              <w:rPr>
                <w:rFonts w:eastAsia="Calibri"/>
                <w:sz w:val="22"/>
                <w:szCs w:val="22"/>
              </w:rPr>
            </w:pPr>
            <w:r w:rsidRPr="006822CB">
              <w:rPr>
                <w:rFonts w:eastAsia="Calibri"/>
                <w:sz w:val="22"/>
                <w:szCs w:val="22"/>
              </w:rPr>
              <w:t>Skuodo rajono kultūros centras kiekvienais metais bendrauja ir bendradarbiauja su kitomis kultūros įsta</w:t>
            </w:r>
            <w:r w:rsidR="001A51F2" w:rsidRPr="006822CB">
              <w:rPr>
                <w:rFonts w:eastAsia="Calibri"/>
                <w:sz w:val="22"/>
                <w:szCs w:val="22"/>
              </w:rPr>
              <w:t>igomis, vyksta kolektyv</w:t>
            </w:r>
            <w:r w:rsidR="0001324F" w:rsidRPr="006822CB">
              <w:rPr>
                <w:rFonts w:eastAsia="Calibri"/>
                <w:sz w:val="22"/>
                <w:szCs w:val="22"/>
              </w:rPr>
              <w:t>ų mainai, vieni kitiems padeda</w:t>
            </w:r>
            <w:r w:rsidR="001A51F2" w:rsidRPr="006822CB">
              <w:rPr>
                <w:rFonts w:eastAsia="Calibri"/>
                <w:sz w:val="22"/>
                <w:szCs w:val="22"/>
              </w:rPr>
              <w:t xml:space="preserve"> įgyvendinti iniciatyvas bei projektus. 2 grafike galima matyti, kad 2018 ir 2019 metais </w:t>
            </w:r>
            <w:r w:rsidR="00F133C0" w:rsidRPr="006822CB">
              <w:rPr>
                <w:rFonts w:eastAsia="Calibri"/>
                <w:sz w:val="22"/>
                <w:szCs w:val="22"/>
              </w:rPr>
              <w:t>tarpusavio bendradarbiavimo skaičius augo</w:t>
            </w:r>
            <w:r w:rsidR="00194FB8">
              <w:rPr>
                <w:rFonts w:eastAsia="Calibri"/>
                <w:sz w:val="22"/>
                <w:szCs w:val="22"/>
              </w:rPr>
              <w:t>,</w:t>
            </w:r>
            <w:r w:rsidR="00F133C0" w:rsidRPr="006822CB">
              <w:rPr>
                <w:rFonts w:eastAsia="Calibri"/>
                <w:sz w:val="22"/>
                <w:szCs w:val="22"/>
              </w:rPr>
              <w:t xml:space="preserve"> </w:t>
            </w:r>
            <w:r w:rsidR="00194FB8">
              <w:rPr>
                <w:rFonts w:eastAsia="Calibri"/>
                <w:sz w:val="22"/>
                <w:szCs w:val="22"/>
              </w:rPr>
              <w:t>i</w:t>
            </w:r>
            <w:r w:rsidR="00F133C0" w:rsidRPr="006822CB">
              <w:rPr>
                <w:rFonts w:eastAsia="Calibri"/>
                <w:sz w:val="22"/>
                <w:szCs w:val="22"/>
              </w:rPr>
              <w:t xml:space="preserve">r </w:t>
            </w:r>
            <w:r w:rsidR="00194FB8">
              <w:rPr>
                <w:rFonts w:eastAsia="Calibri"/>
                <w:sz w:val="22"/>
                <w:szCs w:val="22"/>
              </w:rPr>
              <w:t xml:space="preserve">Skuodo </w:t>
            </w:r>
            <w:r w:rsidR="00F133C0" w:rsidRPr="006822CB">
              <w:rPr>
                <w:rFonts w:eastAsia="Calibri"/>
                <w:sz w:val="22"/>
                <w:szCs w:val="22"/>
              </w:rPr>
              <w:t>kultūros centro kolektyvai yra labai paklausūs, populiarūs, dažnai kviečiami prisijungti į projektus. Deja, 2020 m</w:t>
            </w:r>
            <w:r w:rsidR="00194FB8">
              <w:rPr>
                <w:rFonts w:eastAsia="Calibri"/>
                <w:sz w:val="22"/>
                <w:szCs w:val="22"/>
              </w:rPr>
              <w:t>.</w:t>
            </w:r>
            <w:r w:rsidR="00F133C0" w:rsidRPr="006822CB">
              <w:rPr>
                <w:rFonts w:eastAsia="Calibri"/>
                <w:sz w:val="22"/>
                <w:szCs w:val="22"/>
              </w:rPr>
              <w:t xml:space="preserve"> </w:t>
            </w:r>
            <w:r w:rsidR="00194FB8">
              <w:rPr>
                <w:rFonts w:eastAsia="Calibri"/>
                <w:sz w:val="22"/>
                <w:szCs w:val="22"/>
              </w:rPr>
              <w:t>dėl</w:t>
            </w:r>
            <w:r w:rsidR="00F133C0" w:rsidRPr="006822CB">
              <w:rPr>
                <w:rFonts w:eastAsia="Calibri"/>
                <w:sz w:val="22"/>
                <w:szCs w:val="22"/>
              </w:rPr>
              <w:t xml:space="preserve"> pandemij</w:t>
            </w:r>
            <w:r w:rsidR="00194FB8">
              <w:rPr>
                <w:rFonts w:eastAsia="Calibri"/>
                <w:sz w:val="22"/>
                <w:szCs w:val="22"/>
              </w:rPr>
              <w:t>os</w:t>
            </w:r>
            <w:r w:rsidR="00F133C0" w:rsidRPr="006822CB">
              <w:rPr>
                <w:rFonts w:eastAsia="Calibri"/>
                <w:sz w:val="22"/>
                <w:szCs w:val="22"/>
              </w:rPr>
              <w:t xml:space="preserve"> kultūros įstaigų bendrad</w:t>
            </w:r>
            <w:r w:rsidR="0001324F" w:rsidRPr="006822CB">
              <w:rPr>
                <w:rFonts w:eastAsia="Calibri"/>
                <w:sz w:val="22"/>
                <w:szCs w:val="22"/>
              </w:rPr>
              <w:t>a</w:t>
            </w:r>
            <w:r w:rsidR="00F133C0" w:rsidRPr="006822CB">
              <w:rPr>
                <w:rFonts w:eastAsia="Calibri"/>
                <w:sz w:val="22"/>
                <w:szCs w:val="22"/>
              </w:rPr>
              <w:t>rbiavimui buvo sunkūs. Ribojimai, atsargumas, mažesnis renginių skaičius</w:t>
            </w:r>
            <w:r w:rsidR="00D30BF6" w:rsidRPr="006822CB">
              <w:rPr>
                <w:rFonts w:eastAsia="Calibri"/>
                <w:sz w:val="22"/>
                <w:szCs w:val="22"/>
              </w:rPr>
              <w:t>, sudėtingesnis pasiruošimas</w:t>
            </w:r>
            <w:r w:rsidR="0001324F" w:rsidRPr="006822CB">
              <w:rPr>
                <w:rFonts w:eastAsia="Calibri"/>
                <w:sz w:val="22"/>
                <w:szCs w:val="22"/>
              </w:rPr>
              <w:t xml:space="preserve"> iniciatyvoms įtakojo mažesnį bendradarbiavimą</w:t>
            </w:r>
            <w:r w:rsidR="00F133C0" w:rsidRPr="006822CB">
              <w:rPr>
                <w:rFonts w:eastAsia="Calibri"/>
                <w:sz w:val="22"/>
                <w:szCs w:val="22"/>
              </w:rPr>
              <w:t>, kultūrinius mainus.</w:t>
            </w:r>
          </w:p>
          <w:p w14:paraId="2BC63A4E" w14:textId="77777777" w:rsidR="006E0E5B" w:rsidRPr="006E0E5B" w:rsidRDefault="006E0E5B" w:rsidP="000E7F24">
            <w:pPr>
              <w:suppressAutoHyphens/>
              <w:autoSpaceDN w:val="0"/>
              <w:jc w:val="both"/>
              <w:textAlignment w:val="baseline"/>
              <w:rPr>
                <w:rFonts w:eastAsia="Calibri"/>
                <w:color w:val="FF0000"/>
                <w:sz w:val="22"/>
                <w:szCs w:val="22"/>
              </w:rPr>
            </w:pPr>
          </w:p>
          <w:p w14:paraId="6EB79534" w14:textId="77777777" w:rsidR="000E7F24" w:rsidRPr="00357039" w:rsidRDefault="000E7F24" w:rsidP="000E7F24">
            <w:pPr>
              <w:suppressAutoHyphens/>
              <w:autoSpaceDN w:val="0"/>
              <w:jc w:val="both"/>
              <w:textAlignment w:val="baseline"/>
              <w:rPr>
                <w:rFonts w:eastAsia="Calibri"/>
                <w:sz w:val="22"/>
                <w:szCs w:val="22"/>
              </w:rPr>
            </w:pPr>
            <w:r w:rsidRPr="00357039">
              <w:rPr>
                <w:rFonts w:eastAsia="Calibri"/>
                <w:sz w:val="22"/>
                <w:szCs w:val="22"/>
              </w:rPr>
              <w:t>Tikslo pasiekimo iššūkiai ir galimybės:</w:t>
            </w:r>
          </w:p>
          <w:p w14:paraId="13E3E80D" w14:textId="222F93E1" w:rsidR="000E7F24" w:rsidRPr="00357039" w:rsidRDefault="000E7F24" w:rsidP="000E7F24">
            <w:pPr>
              <w:suppressAutoHyphens/>
              <w:autoSpaceDN w:val="0"/>
              <w:jc w:val="both"/>
              <w:textAlignment w:val="baseline"/>
              <w:rPr>
                <w:rFonts w:eastAsia="Calibri"/>
                <w:sz w:val="22"/>
                <w:szCs w:val="22"/>
              </w:rPr>
            </w:pPr>
            <w:r w:rsidRPr="00357039">
              <w:rPr>
                <w:rFonts w:eastAsia="Calibri"/>
                <w:sz w:val="22"/>
                <w:szCs w:val="22"/>
              </w:rPr>
              <w:t xml:space="preserve">♦ Skuodo rajono kultūros centro pasiekti </w:t>
            </w:r>
            <w:r w:rsidR="00357039">
              <w:rPr>
                <w:rFonts w:eastAsia="Calibri"/>
                <w:sz w:val="22"/>
                <w:szCs w:val="22"/>
              </w:rPr>
              <w:t>rezultatai, atkreipiant dėmesį, kad tai sudėtingas metų laikot</w:t>
            </w:r>
            <w:r w:rsidR="003E3928">
              <w:rPr>
                <w:rFonts w:eastAsia="Calibri"/>
                <w:sz w:val="22"/>
                <w:szCs w:val="22"/>
              </w:rPr>
              <w:t>arpis dėl pandemijos, yra labai geri</w:t>
            </w:r>
            <w:r w:rsidR="00357039">
              <w:rPr>
                <w:rFonts w:eastAsia="Calibri"/>
                <w:sz w:val="22"/>
                <w:szCs w:val="22"/>
              </w:rPr>
              <w:t>. I</w:t>
            </w:r>
            <w:r w:rsidRPr="00357039">
              <w:rPr>
                <w:rFonts w:eastAsia="Calibri"/>
                <w:sz w:val="22"/>
                <w:szCs w:val="22"/>
              </w:rPr>
              <w:t>r toliau siekiama išlaikyti išaug</w:t>
            </w:r>
            <w:r w:rsidR="00194FB8">
              <w:rPr>
                <w:rFonts w:eastAsia="Calibri"/>
                <w:sz w:val="22"/>
                <w:szCs w:val="22"/>
              </w:rPr>
              <w:t>u</w:t>
            </w:r>
            <w:r w:rsidRPr="00357039">
              <w:rPr>
                <w:rFonts w:eastAsia="Calibri"/>
                <w:sz w:val="22"/>
                <w:szCs w:val="22"/>
              </w:rPr>
              <w:t xml:space="preserve">sį renginių dalyvių </w:t>
            </w:r>
            <w:r w:rsidR="00357039">
              <w:rPr>
                <w:rFonts w:eastAsia="Calibri"/>
                <w:sz w:val="22"/>
                <w:szCs w:val="22"/>
              </w:rPr>
              <w:t>bei žiūrovų skaičių, stengiamasi</w:t>
            </w:r>
            <w:r w:rsidRPr="00357039">
              <w:rPr>
                <w:rFonts w:eastAsia="Calibri"/>
                <w:sz w:val="22"/>
                <w:szCs w:val="22"/>
              </w:rPr>
              <w:t xml:space="preserve"> pritraukti daugiau lankytojų, suteikti</w:t>
            </w:r>
            <w:r w:rsidR="00357039">
              <w:rPr>
                <w:rFonts w:eastAsia="Calibri"/>
                <w:sz w:val="22"/>
                <w:szCs w:val="22"/>
              </w:rPr>
              <w:t xml:space="preserve"> </w:t>
            </w:r>
            <w:r w:rsidR="000F4510">
              <w:rPr>
                <w:rFonts w:eastAsia="Calibri"/>
                <w:sz w:val="22"/>
                <w:szCs w:val="22"/>
              </w:rPr>
              <w:t>įvairiapu</w:t>
            </w:r>
            <w:r w:rsidR="00357039">
              <w:rPr>
                <w:rFonts w:eastAsia="Calibri"/>
                <w:sz w:val="22"/>
                <w:szCs w:val="22"/>
              </w:rPr>
              <w:t>sių paslaugų, didinti</w:t>
            </w:r>
            <w:r w:rsidRPr="00357039">
              <w:rPr>
                <w:rFonts w:eastAsia="Calibri"/>
                <w:sz w:val="22"/>
                <w:szCs w:val="22"/>
              </w:rPr>
              <w:t xml:space="preserve"> pasiūlą, atitinkančią gyventojų poreikius. </w:t>
            </w:r>
          </w:p>
          <w:p w14:paraId="2949ED73" w14:textId="0F088702" w:rsidR="00A8258E" w:rsidRDefault="000E7F24" w:rsidP="000E7F24">
            <w:pPr>
              <w:suppressAutoHyphens/>
              <w:autoSpaceDN w:val="0"/>
              <w:jc w:val="both"/>
              <w:textAlignment w:val="baseline"/>
              <w:rPr>
                <w:rFonts w:eastAsia="Calibri"/>
                <w:sz w:val="22"/>
                <w:szCs w:val="22"/>
              </w:rPr>
            </w:pPr>
            <w:r w:rsidRPr="00FD2370">
              <w:rPr>
                <w:rFonts w:eastAsia="Calibri"/>
                <w:sz w:val="22"/>
                <w:szCs w:val="22"/>
              </w:rPr>
              <w:t>♦ Kaip galima matyti vertinimo kriterijų įgyvendinimo analizėje</w:t>
            </w:r>
            <w:r w:rsidR="001569F4" w:rsidRPr="00FD2370">
              <w:rPr>
                <w:rFonts w:eastAsia="Calibri"/>
                <w:sz w:val="22"/>
                <w:szCs w:val="22"/>
              </w:rPr>
              <w:t xml:space="preserve"> ir neužmirštant pandemij</w:t>
            </w:r>
            <w:r w:rsidR="00A8258E">
              <w:rPr>
                <w:rFonts w:eastAsia="Calibri"/>
                <w:sz w:val="22"/>
                <w:szCs w:val="22"/>
              </w:rPr>
              <w:t>os pasekmių, Kultūros centrui nepavyko pasiekti tik vieno rodiklio – įgyvendintų projektų skaičiaus</w:t>
            </w:r>
            <w:r w:rsidR="0062086B">
              <w:rPr>
                <w:rFonts w:eastAsia="Calibri"/>
                <w:sz w:val="22"/>
                <w:szCs w:val="22"/>
              </w:rPr>
              <w:t>, 66,67 proc</w:t>
            </w:r>
            <w:r w:rsidR="001569F4" w:rsidRPr="00FD2370">
              <w:rPr>
                <w:rFonts w:eastAsia="Calibri"/>
                <w:sz w:val="22"/>
                <w:szCs w:val="22"/>
              </w:rPr>
              <w:t>. D</w:t>
            </w:r>
            <w:r w:rsidRPr="00FD2370">
              <w:rPr>
                <w:rFonts w:eastAsia="Calibri"/>
                <w:sz w:val="22"/>
                <w:szCs w:val="22"/>
              </w:rPr>
              <w:t>alis rodiklių yra faktiškai viršiję num</w:t>
            </w:r>
            <w:r w:rsidR="001569F4" w:rsidRPr="00FD2370">
              <w:rPr>
                <w:rFonts w:eastAsia="Calibri"/>
                <w:sz w:val="22"/>
                <w:szCs w:val="22"/>
              </w:rPr>
              <w:t>atytą planą</w:t>
            </w:r>
            <w:r w:rsidR="00A8258E">
              <w:rPr>
                <w:rFonts w:eastAsia="Calibri"/>
                <w:sz w:val="22"/>
                <w:szCs w:val="22"/>
              </w:rPr>
              <w:t xml:space="preserve"> arba įvykdyta 100 procentu</w:t>
            </w:r>
            <w:r w:rsidR="001569F4" w:rsidRPr="00FD2370">
              <w:rPr>
                <w:rFonts w:eastAsia="Calibri"/>
                <w:sz w:val="22"/>
                <w:szCs w:val="22"/>
              </w:rPr>
              <w:t xml:space="preserve">. </w:t>
            </w:r>
          </w:p>
          <w:p w14:paraId="14272D7F" w14:textId="00F71978" w:rsidR="00377A50" w:rsidRPr="00976598" w:rsidRDefault="000E7F24" w:rsidP="00736632">
            <w:pPr>
              <w:suppressAutoHyphens/>
              <w:autoSpaceDN w:val="0"/>
              <w:jc w:val="both"/>
              <w:textAlignment w:val="baseline"/>
              <w:rPr>
                <w:rFonts w:eastAsia="Calibri"/>
                <w:color w:val="FF0000"/>
                <w:sz w:val="22"/>
                <w:szCs w:val="22"/>
              </w:rPr>
            </w:pPr>
            <w:r w:rsidRPr="003D7CC7">
              <w:rPr>
                <w:rFonts w:eastAsia="Calibri"/>
                <w:sz w:val="22"/>
                <w:szCs w:val="22"/>
              </w:rPr>
              <w:t>♦ Pagal Kultūros centro veiklos rezultatus galima matyti, kad r</w:t>
            </w:r>
            <w:r w:rsidR="003D7CC7" w:rsidRPr="003D7CC7">
              <w:rPr>
                <w:rFonts w:eastAsia="Calibri"/>
                <w:sz w:val="22"/>
                <w:szCs w:val="22"/>
              </w:rPr>
              <w:t xml:space="preserve">enginių lankomumas yra didelis. Perkėlus daug veiklų į socialinius tinklus – žiūrovų sulaukiama taip pat gausiai, vaizdo renginių peržiūrų skaičiai yra </w:t>
            </w:r>
            <w:r w:rsidR="003D7CC7" w:rsidRPr="003D7CC7">
              <w:rPr>
                <w:rFonts w:eastAsia="Calibri"/>
                <w:sz w:val="22"/>
                <w:szCs w:val="22"/>
              </w:rPr>
              <w:lastRenderedPageBreak/>
              <w:t>dideli.  Plati Kultūros centro veikla</w:t>
            </w:r>
            <w:r w:rsidRPr="003D7CC7">
              <w:rPr>
                <w:rFonts w:eastAsia="Calibri"/>
                <w:sz w:val="22"/>
                <w:szCs w:val="22"/>
              </w:rPr>
              <w:t xml:space="preserve"> didina žinomumą apie Skuodą, </w:t>
            </w:r>
            <w:r w:rsidR="00E03A4D">
              <w:rPr>
                <w:rFonts w:eastAsia="Calibri"/>
                <w:sz w:val="22"/>
                <w:szCs w:val="22"/>
              </w:rPr>
              <w:t xml:space="preserve">sklinda </w:t>
            </w:r>
            <w:r w:rsidRPr="003D7CC7">
              <w:rPr>
                <w:rFonts w:eastAsia="Calibri"/>
                <w:sz w:val="22"/>
                <w:szCs w:val="22"/>
              </w:rPr>
              <w:t>geri atsiliepimai</w:t>
            </w:r>
            <w:r w:rsidR="00736632">
              <w:rPr>
                <w:rFonts w:eastAsia="Calibri"/>
                <w:sz w:val="22"/>
                <w:szCs w:val="22"/>
              </w:rPr>
              <w:t xml:space="preserve"> ir komentarai, aktyvus dalyvavimas</w:t>
            </w:r>
            <w:r w:rsidRPr="003D7CC7">
              <w:rPr>
                <w:rFonts w:eastAsia="Calibri"/>
                <w:sz w:val="22"/>
                <w:szCs w:val="22"/>
              </w:rPr>
              <w:t xml:space="preserve"> motyvuoja ir paskatina </w:t>
            </w:r>
            <w:r w:rsidR="00736632">
              <w:rPr>
                <w:rFonts w:eastAsia="Calibri"/>
                <w:sz w:val="22"/>
                <w:szCs w:val="22"/>
              </w:rPr>
              <w:t>domėtis mūsų kraštu</w:t>
            </w:r>
            <w:r w:rsidR="00736632" w:rsidRPr="00CF3EF5">
              <w:rPr>
                <w:rFonts w:eastAsia="Calibri"/>
                <w:sz w:val="22"/>
                <w:szCs w:val="22"/>
              </w:rPr>
              <w:t xml:space="preserve">. </w:t>
            </w:r>
            <w:r w:rsidRPr="00CF3EF5">
              <w:rPr>
                <w:rFonts w:eastAsia="Calibri"/>
                <w:sz w:val="22"/>
                <w:szCs w:val="22"/>
              </w:rPr>
              <w:t>Kultūros centro kolektyvų dėka, Skuodo krašto vardas yra išgirstas ir už Lietuvos ribų, kas taip pat didina susidomėjimą mūsų rajon</w:t>
            </w:r>
            <w:r w:rsidR="00194FB8">
              <w:rPr>
                <w:rFonts w:eastAsia="Calibri"/>
                <w:sz w:val="22"/>
                <w:szCs w:val="22"/>
              </w:rPr>
              <w:t>u</w:t>
            </w:r>
            <w:r w:rsidRPr="00CF3EF5">
              <w:rPr>
                <w:rFonts w:eastAsia="Calibri"/>
                <w:sz w:val="22"/>
                <w:szCs w:val="22"/>
              </w:rPr>
              <w:t>. Į K</w:t>
            </w:r>
            <w:r w:rsidR="00CF3EF5" w:rsidRPr="00CF3EF5">
              <w:rPr>
                <w:rFonts w:eastAsia="Calibri"/>
                <w:sz w:val="22"/>
                <w:szCs w:val="22"/>
              </w:rPr>
              <w:t>ultūros centro veiklą įtraukiamos visos socialinės grupės:</w:t>
            </w:r>
            <w:r w:rsidRPr="00CF3EF5">
              <w:rPr>
                <w:rFonts w:eastAsia="Calibri"/>
                <w:sz w:val="22"/>
                <w:szCs w:val="22"/>
              </w:rPr>
              <w:t xml:space="preserve"> tiek vaikai, tiek jaunimas, </w:t>
            </w:r>
            <w:r w:rsidR="00CF3EF5" w:rsidRPr="00CF3EF5">
              <w:rPr>
                <w:rFonts w:eastAsia="Calibri"/>
                <w:sz w:val="22"/>
                <w:szCs w:val="22"/>
              </w:rPr>
              <w:t>tiek suaugę ar pagyvenę asmenys.  T</w:t>
            </w:r>
            <w:r w:rsidRPr="00CF3EF5">
              <w:rPr>
                <w:rFonts w:eastAsia="Calibri"/>
                <w:sz w:val="22"/>
                <w:szCs w:val="22"/>
              </w:rPr>
              <w:t>ai didina užimtumą, aktyvumą įsijungti į visuomeninę veiklą. Kuo didesnis užimtumas, kuo yra didesnis veiklų pasirinkimas, tuo gyvenvietė tampa patraukl</w:t>
            </w:r>
            <w:r w:rsidR="00E03A4D">
              <w:rPr>
                <w:rFonts w:eastAsia="Calibri"/>
                <w:sz w:val="22"/>
                <w:szCs w:val="22"/>
              </w:rPr>
              <w:t>esnė</w:t>
            </w:r>
            <w:r w:rsidRPr="00CF3EF5">
              <w:rPr>
                <w:rFonts w:eastAsia="Calibri"/>
                <w:sz w:val="22"/>
                <w:szCs w:val="22"/>
              </w:rPr>
              <w:t xml:space="preserve"> potencialiems gyventojams ir atvykstantiems. </w:t>
            </w:r>
          </w:p>
        </w:tc>
      </w:tr>
    </w:tbl>
    <w:p w14:paraId="7DC49891" w14:textId="59F7089A" w:rsidR="00377A50" w:rsidRPr="006713E2" w:rsidRDefault="003F3C18" w:rsidP="00377A50">
      <w:pPr>
        <w:suppressAutoHyphens/>
        <w:autoSpaceDN w:val="0"/>
        <w:ind w:left="284" w:hanging="284"/>
        <w:jc w:val="center"/>
        <w:textAlignment w:val="baseline"/>
        <w:rPr>
          <w:b/>
          <w:bCs/>
        </w:rPr>
      </w:pPr>
      <w:r>
        <w:rPr>
          <w:b/>
          <w:bCs/>
        </w:rPr>
        <w:lastRenderedPageBreak/>
        <w:t>_________________________________</w:t>
      </w:r>
    </w:p>
    <w:p w14:paraId="745161EA" w14:textId="17EF9F95" w:rsidR="00377A50" w:rsidRDefault="00377A50" w:rsidP="00377A50">
      <w:pPr>
        <w:tabs>
          <w:tab w:val="left" w:pos="6237"/>
        </w:tabs>
      </w:pPr>
    </w:p>
    <w:p w14:paraId="5EC9D1DF" w14:textId="7F85416F" w:rsidR="00E03A4D" w:rsidRDefault="00E03A4D" w:rsidP="00377A50">
      <w:pPr>
        <w:tabs>
          <w:tab w:val="left" w:pos="6237"/>
        </w:tabs>
      </w:pPr>
    </w:p>
    <w:p w14:paraId="362C2EF8" w14:textId="5812AC72" w:rsidR="00E03A4D" w:rsidRDefault="00E03A4D" w:rsidP="00377A50">
      <w:pPr>
        <w:tabs>
          <w:tab w:val="left" w:pos="6237"/>
        </w:tabs>
      </w:pPr>
    </w:p>
    <w:p w14:paraId="5F6E6EC6" w14:textId="2A9C8835" w:rsidR="00E03A4D" w:rsidRDefault="00E03A4D" w:rsidP="00377A50">
      <w:pPr>
        <w:tabs>
          <w:tab w:val="left" w:pos="6237"/>
        </w:tabs>
      </w:pPr>
    </w:p>
    <w:p w14:paraId="522230C5" w14:textId="04B5D567" w:rsidR="00E03A4D" w:rsidRDefault="00E03A4D" w:rsidP="00377A50">
      <w:pPr>
        <w:tabs>
          <w:tab w:val="left" w:pos="6237"/>
        </w:tabs>
      </w:pPr>
    </w:p>
    <w:p w14:paraId="4EC8901B" w14:textId="7F4D44C8" w:rsidR="00E03A4D" w:rsidRDefault="00E03A4D" w:rsidP="00377A50">
      <w:pPr>
        <w:tabs>
          <w:tab w:val="left" w:pos="6237"/>
        </w:tabs>
      </w:pPr>
    </w:p>
    <w:p w14:paraId="525498DA" w14:textId="1278C820" w:rsidR="00E03A4D" w:rsidRDefault="00E03A4D" w:rsidP="00377A50">
      <w:pPr>
        <w:tabs>
          <w:tab w:val="left" w:pos="6237"/>
        </w:tabs>
      </w:pPr>
    </w:p>
    <w:p w14:paraId="3EA240CD" w14:textId="719CD5C1" w:rsidR="00E03A4D" w:rsidRDefault="00E03A4D" w:rsidP="00377A50">
      <w:pPr>
        <w:tabs>
          <w:tab w:val="left" w:pos="6237"/>
        </w:tabs>
      </w:pPr>
    </w:p>
    <w:p w14:paraId="28C152C9" w14:textId="1B91C4A9" w:rsidR="00E03A4D" w:rsidRDefault="00E03A4D" w:rsidP="00377A50">
      <w:pPr>
        <w:tabs>
          <w:tab w:val="left" w:pos="6237"/>
        </w:tabs>
      </w:pPr>
    </w:p>
    <w:p w14:paraId="4232407D" w14:textId="1CE0E4FD" w:rsidR="00E03A4D" w:rsidRDefault="00E03A4D" w:rsidP="00377A50">
      <w:pPr>
        <w:tabs>
          <w:tab w:val="left" w:pos="6237"/>
        </w:tabs>
      </w:pPr>
    </w:p>
    <w:p w14:paraId="7ABD6EC3" w14:textId="504F192A" w:rsidR="00E03A4D" w:rsidRDefault="00E03A4D" w:rsidP="00377A50">
      <w:pPr>
        <w:tabs>
          <w:tab w:val="left" w:pos="6237"/>
        </w:tabs>
      </w:pPr>
    </w:p>
    <w:p w14:paraId="05853083" w14:textId="61A2B34E" w:rsidR="00E03A4D" w:rsidRDefault="00E03A4D" w:rsidP="00377A50">
      <w:pPr>
        <w:tabs>
          <w:tab w:val="left" w:pos="6237"/>
        </w:tabs>
      </w:pPr>
    </w:p>
    <w:p w14:paraId="39C5AD80" w14:textId="6F9DCC22" w:rsidR="00E03A4D" w:rsidRDefault="00E03A4D" w:rsidP="00377A50">
      <w:pPr>
        <w:tabs>
          <w:tab w:val="left" w:pos="6237"/>
        </w:tabs>
      </w:pPr>
    </w:p>
    <w:p w14:paraId="13AD1CE1" w14:textId="7339A632" w:rsidR="00E03A4D" w:rsidRDefault="00E03A4D" w:rsidP="00377A50">
      <w:pPr>
        <w:tabs>
          <w:tab w:val="left" w:pos="6237"/>
        </w:tabs>
      </w:pPr>
    </w:p>
    <w:p w14:paraId="05A9D0CB" w14:textId="5EBB9C57" w:rsidR="00E03A4D" w:rsidRDefault="00E03A4D" w:rsidP="00377A50">
      <w:pPr>
        <w:tabs>
          <w:tab w:val="left" w:pos="6237"/>
        </w:tabs>
      </w:pPr>
    </w:p>
    <w:p w14:paraId="5E698FF8" w14:textId="12C4F92F" w:rsidR="00E03A4D" w:rsidRDefault="00E03A4D" w:rsidP="00377A50">
      <w:pPr>
        <w:tabs>
          <w:tab w:val="left" w:pos="6237"/>
        </w:tabs>
      </w:pPr>
    </w:p>
    <w:p w14:paraId="29983C9E" w14:textId="505A4A3F" w:rsidR="00E03A4D" w:rsidRDefault="00E03A4D" w:rsidP="00377A50">
      <w:pPr>
        <w:tabs>
          <w:tab w:val="left" w:pos="6237"/>
        </w:tabs>
      </w:pPr>
    </w:p>
    <w:p w14:paraId="32DF2C5A" w14:textId="36B54DE4" w:rsidR="00E03A4D" w:rsidRDefault="00E03A4D" w:rsidP="00377A50">
      <w:pPr>
        <w:tabs>
          <w:tab w:val="left" w:pos="6237"/>
        </w:tabs>
      </w:pPr>
    </w:p>
    <w:p w14:paraId="6479EB75" w14:textId="344ADA38" w:rsidR="00E03A4D" w:rsidRDefault="00E03A4D" w:rsidP="00377A50">
      <w:pPr>
        <w:tabs>
          <w:tab w:val="left" w:pos="6237"/>
        </w:tabs>
      </w:pPr>
    </w:p>
    <w:p w14:paraId="36A273B5" w14:textId="113DA6AC" w:rsidR="00E03A4D" w:rsidRDefault="00E03A4D" w:rsidP="00377A50">
      <w:pPr>
        <w:tabs>
          <w:tab w:val="left" w:pos="6237"/>
        </w:tabs>
      </w:pPr>
    </w:p>
    <w:p w14:paraId="052FC5A4" w14:textId="14BDDE0D" w:rsidR="00E03A4D" w:rsidRDefault="00E03A4D" w:rsidP="00377A50">
      <w:pPr>
        <w:tabs>
          <w:tab w:val="left" w:pos="6237"/>
        </w:tabs>
      </w:pPr>
    </w:p>
    <w:p w14:paraId="52FC5869" w14:textId="35D89D1F" w:rsidR="00E03A4D" w:rsidRDefault="00E03A4D" w:rsidP="00377A50">
      <w:pPr>
        <w:tabs>
          <w:tab w:val="left" w:pos="6237"/>
        </w:tabs>
      </w:pPr>
    </w:p>
    <w:p w14:paraId="52107418" w14:textId="5C42A1A5" w:rsidR="00E03A4D" w:rsidRDefault="00E03A4D" w:rsidP="00377A50">
      <w:pPr>
        <w:tabs>
          <w:tab w:val="left" w:pos="6237"/>
        </w:tabs>
      </w:pPr>
    </w:p>
    <w:p w14:paraId="03402A7C" w14:textId="4FAA8DF8" w:rsidR="00E03A4D" w:rsidRDefault="00E03A4D" w:rsidP="00377A50">
      <w:pPr>
        <w:tabs>
          <w:tab w:val="left" w:pos="6237"/>
        </w:tabs>
      </w:pPr>
    </w:p>
    <w:p w14:paraId="5D154267" w14:textId="13A15C10" w:rsidR="00E03A4D" w:rsidRDefault="00E03A4D" w:rsidP="00377A50">
      <w:pPr>
        <w:tabs>
          <w:tab w:val="left" w:pos="6237"/>
        </w:tabs>
      </w:pPr>
    </w:p>
    <w:p w14:paraId="305581D8" w14:textId="5B62FF81" w:rsidR="00E03A4D" w:rsidRDefault="00E03A4D" w:rsidP="00377A50">
      <w:pPr>
        <w:tabs>
          <w:tab w:val="left" w:pos="6237"/>
        </w:tabs>
      </w:pPr>
    </w:p>
    <w:p w14:paraId="7FF0CF00" w14:textId="54423CB8" w:rsidR="00E03A4D" w:rsidRDefault="00E03A4D" w:rsidP="00377A50">
      <w:pPr>
        <w:tabs>
          <w:tab w:val="left" w:pos="6237"/>
        </w:tabs>
      </w:pPr>
    </w:p>
    <w:p w14:paraId="0C20334B" w14:textId="4A5C6C8F" w:rsidR="00E03A4D" w:rsidRDefault="00E03A4D" w:rsidP="00377A50">
      <w:pPr>
        <w:tabs>
          <w:tab w:val="left" w:pos="6237"/>
        </w:tabs>
      </w:pPr>
    </w:p>
    <w:p w14:paraId="56BD7926" w14:textId="3DDD806B" w:rsidR="00E03A4D" w:rsidRDefault="00E03A4D" w:rsidP="00377A50">
      <w:pPr>
        <w:tabs>
          <w:tab w:val="left" w:pos="6237"/>
        </w:tabs>
      </w:pPr>
    </w:p>
    <w:p w14:paraId="75946C00" w14:textId="5A0021C0" w:rsidR="00E03A4D" w:rsidRDefault="00E03A4D" w:rsidP="00377A50">
      <w:pPr>
        <w:tabs>
          <w:tab w:val="left" w:pos="6237"/>
        </w:tabs>
      </w:pPr>
    </w:p>
    <w:p w14:paraId="521BB65D" w14:textId="0C2FF20B" w:rsidR="00E03A4D" w:rsidRDefault="00E03A4D" w:rsidP="00377A50">
      <w:pPr>
        <w:tabs>
          <w:tab w:val="left" w:pos="6237"/>
        </w:tabs>
      </w:pPr>
    </w:p>
    <w:p w14:paraId="266544D3" w14:textId="160E084E" w:rsidR="00E03A4D" w:rsidRDefault="00E03A4D" w:rsidP="00377A50">
      <w:pPr>
        <w:tabs>
          <w:tab w:val="left" w:pos="6237"/>
        </w:tabs>
      </w:pPr>
    </w:p>
    <w:p w14:paraId="33614DE9" w14:textId="36F6B89D" w:rsidR="00E03A4D" w:rsidRDefault="00E03A4D" w:rsidP="00377A50">
      <w:pPr>
        <w:tabs>
          <w:tab w:val="left" w:pos="6237"/>
        </w:tabs>
      </w:pPr>
    </w:p>
    <w:p w14:paraId="32153820" w14:textId="7316FC56" w:rsidR="00E03A4D" w:rsidRDefault="00E03A4D" w:rsidP="00377A50">
      <w:pPr>
        <w:tabs>
          <w:tab w:val="left" w:pos="6237"/>
        </w:tabs>
      </w:pPr>
    </w:p>
    <w:p w14:paraId="53DB71D7" w14:textId="24AB3606" w:rsidR="00E03A4D" w:rsidRDefault="00E03A4D" w:rsidP="00377A50">
      <w:pPr>
        <w:tabs>
          <w:tab w:val="left" w:pos="6237"/>
        </w:tabs>
      </w:pPr>
    </w:p>
    <w:p w14:paraId="574453C1" w14:textId="734DE934" w:rsidR="00E03A4D" w:rsidRDefault="00E03A4D" w:rsidP="00377A50">
      <w:pPr>
        <w:tabs>
          <w:tab w:val="left" w:pos="6237"/>
        </w:tabs>
      </w:pPr>
    </w:p>
    <w:p w14:paraId="0EF864C8" w14:textId="6A3F0DEB" w:rsidR="00E03A4D" w:rsidRDefault="00E03A4D" w:rsidP="00377A50">
      <w:pPr>
        <w:tabs>
          <w:tab w:val="left" w:pos="6237"/>
        </w:tabs>
      </w:pPr>
    </w:p>
    <w:p w14:paraId="1005D23B" w14:textId="4A5EDD73" w:rsidR="00E03A4D" w:rsidRDefault="00E03A4D" w:rsidP="00377A50">
      <w:pPr>
        <w:tabs>
          <w:tab w:val="left" w:pos="6237"/>
        </w:tabs>
      </w:pPr>
    </w:p>
    <w:p w14:paraId="34627193" w14:textId="77777777" w:rsidR="00E03A4D" w:rsidRDefault="00E03A4D" w:rsidP="00377A50">
      <w:pPr>
        <w:tabs>
          <w:tab w:val="left" w:pos="6237"/>
        </w:tabs>
      </w:pPr>
    </w:p>
    <w:p w14:paraId="469FD07D" w14:textId="2298BCBB" w:rsidR="00377A50" w:rsidRPr="006713E2" w:rsidRDefault="003F3C18" w:rsidP="003F3C18">
      <w:pPr>
        <w:tabs>
          <w:tab w:val="left" w:pos="6237"/>
          <w:tab w:val="right" w:pos="8306"/>
        </w:tabs>
        <w:rPr>
          <w:color w:val="000000"/>
        </w:rPr>
      </w:pPr>
      <w:r>
        <w:rPr>
          <w:color w:val="000000"/>
        </w:rPr>
        <w:t>Vidmantas Valinskis, tel. 8 686 23</w:t>
      </w:r>
      <w:r w:rsidR="00E03A4D">
        <w:rPr>
          <w:color w:val="000000"/>
        </w:rPr>
        <w:t xml:space="preserve"> </w:t>
      </w:r>
      <w:r>
        <w:rPr>
          <w:color w:val="000000"/>
        </w:rPr>
        <w:t>917</w:t>
      </w:r>
    </w:p>
    <w:p w14:paraId="7C0E2792" w14:textId="77777777" w:rsidR="00377A50" w:rsidRDefault="00377A50" w:rsidP="00377A50">
      <w:pPr>
        <w:sectPr w:rsidR="00377A50" w:rsidSect="009E102D">
          <w:headerReference w:type="default" r:id="rId10"/>
          <w:headerReference w:type="first" r:id="rId11"/>
          <w:pgSz w:w="11906" w:h="16838" w:code="9"/>
          <w:pgMar w:top="1134" w:right="567" w:bottom="1134" w:left="1701" w:header="567" w:footer="567" w:gutter="0"/>
          <w:pgNumType w:start="1"/>
          <w:cols w:space="1296"/>
          <w:titlePg/>
        </w:sectPr>
      </w:pPr>
      <w:r>
        <w:br w:type="page"/>
      </w:r>
    </w:p>
    <w:p w14:paraId="4610F5EA" w14:textId="77777777" w:rsidR="00377A50" w:rsidRDefault="00377A50" w:rsidP="00377A50">
      <w:pPr>
        <w:jc w:val="center"/>
        <w:rPr>
          <w:lang w:eastAsia="ar-SA"/>
        </w:rPr>
      </w:pPr>
      <w:r>
        <w:rPr>
          <w:lang w:eastAsia="ar-SA"/>
        </w:rPr>
        <w:lastRenderedPageBreak/>
        <w:t xml:space="preserve">                                                                           </w:t>
      </w:r>
      <w:r w:rsidR="00EF5BE5">
        <w:rPr>
          <w:lang w:eastAsia="ar-SA"/>
        </w:rPr>
        <w:t xml:space="preserve">                               </w:t>
      </w:r>
      <w:r>
        <w:rPr>
          <w:lang w:eastAsia="ar-SA"/>
        </w:rPr>
        <w:t xml:space="preserve">                                                                        </w:t>
      </w:r>
      <w:r w:rsidRPr="006713E2">
        <w:rPr>
          <w:lang w:eastAsia="ar-SA"/>
        </w:rPr>
        <w:t xml:space="preserve">Skuodo rajono savivaldybės </w:t>
      </w:r>
    </w:p>
    <w:p w14:paraId="13B6DED0" w14:textId="77777777" w:rsidR="00377A50" w:rsidRDefault="00377A50" w:rsidP="00377A50">
      <w:pPr>
        <w:rPr>
          <w:lang w:eastAsia="ar-SA"/>
        </w:rPr>
      </w:pPr>
      <w:r>
        <w:rPr>
          <w:lang w:eastAsia="ar-SA"/>
        </w:rPr>
        <w:t xml:space="preserve">                                                                                                                                                                                             </w:t>
      </w:r>
      <w:r w:rsidRPr="006713E2">
        <w:rPr>
          <w:lang w:eastAsia="ar-SA"/>
        </w:rPr>
        <w:t>v</w:t>
      </w:r>
      <w:r>
        <w:rPr>
          <w:lang w:eastAsia="ar-SA"/>
        </w:rPr>
        <w:t xml:space="preserve">iešojo sektoriaus subjektų </w:t>
      </w:r>
      <w:r w:rsidRPr="006713E2">
        <w:rPr>
          <w:lang w:eastAsia="ar-SA"/>
        </w:rPr>
        <w:t xml:space="preserve"> </w:t>
      </w:r>
    </w:p>
    <w:p w14:paraId="698E8C01" w14:textId="77777777" w:rsidR="00377A50" w:rsidRDefault="00377A50" w:rsidP="00377A50">
      <w:pPr>
        <w:jc w:val="right"/>
        <w:rPr>
          <w:lang w:eastAsia="ar-SA"/>
        </w:rPr>
      </w:pPr>
      <w:r w:rsidRPr="006713E2">
        <w:rPr>
          <w:lang w:eastAsia="ar-SA"/>
        </w:rPr>
        <w:t>metinės veiklos ataskaitos</w:t>
      </w:r>
      <w:r>
        <w:rPr>
          <w:lang w:eastAsia="ar-SA"/>
        </w:rPr>
        <w:t xml:space="preserve"> priedas</w:t>
      </w:r>
    </w:p>
    <w:p w14:paraId="1C9DF648" w14:textId="77777777" w:rsidR="00377A50" w:rsidRDefault="00377A50" w:rsidP="00377A50">
      <w:pPr>
        <w:jc w:val="right"/>
        <w:rPr>
          <w:lang w:eastAsia="ar-SA"/>
        </w:rPr>
      </w:pPr>
    </w:p>
    <w:p w14:paraId="72FDDB8E" w14:textId="77777777" w:rsidR="00377A50" w:rsidRPr="00B22532" w:rsidRDefault="00377A50" w:rsidP="00377A50">
      <w:pPr>
        <w:spacing w:after="160" w:line="259" w:lineRule="auto"/>
        <w:jc w:val="center"/>
        <w:rPr>
          <w:rFonts w:eastAsia="Calibri"/>
          <w:b/>
          <w:bCs/>
        </w:rPr>
      </w:pPr>
      <w:r w:rsidRPr="00B22532">
        <w:rPr>
          <w:rFonts w:eastAsia="Calibri"/>
          <w:b/>
          <w:bCs/>
        </w:rPr>
        <w:t>VERTINIMO KRITERIJŲ ĮGYVENDINIMO ANALIZĖ</w:t>
      </w:r>
    </w:p>
    <w:p w14:paraId="0FDCC7A8" w14:textId="77777777" w:rsidR="00377A50" w:rsidRDefault="00377A50" w:rsidP="00377A50"/>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021"/>
        <w:gridCol w:w="992"/>
        <w:gridCol w:w="992"/>
        <w:gridCol w:w="5103"/>
        <w:gridCol w:w="1418"/>
        <w:gridCol w:w="850"/>
        <w:gridCol w:w="709"/>
        <w:gridCol w:w="850"/>
        <w:gridCol w:w="851"/>
        <w:gridCol w:w="1276"/>
      </w:tblGrid>
      <w:tr w:rsidR="00EA2E57" w:rsidRPr="009E102D" w14:paraId="685F27BD" w14:textId="77777777" w:rsidTr="0038386D">
        <w:trPr>
          <w:cantSplit/>
          <w:trHeight w:val="564"/>
        </w:trPr>
        <w:tc>
          <w:tcPr>
            <w:tcW w:w="1101" w:type="dxa"/>
            <w:vMerge w:val="restart"/>
          </w:tcPr>
          <w:p w14:paraId="23E42F41" w14:textId="77777777" w:rsidR="00EA2E57" w:rsidRPr="009E102D" w:rsidRDefault="00EA2E57" w:rsidP="008D11D2">
            <w:pPr>
              <w:jc w:val="center"/>
              <w:rPr>
                <w:rFonts w:eastAsia="Calibri"/>
                <w:bCs/>
                <w:sz w:val="18"/>
                <w:szCs w:val="18"/>
              </w:rPr>
            </w:pPr>
            <w:r w:rsidRPr="009E102D">
              <w:rPr>
                <w:rFonts w:eastAsia="Calibri"/>
                <w:bCs/>
                <w:sz w:val="18"/>
                <w:szCs w:val="18"/>
              </w:rPr>
              <w:t>Strateginio tikslo kodas</w:t>
            </w:r>
          </w:p>
        </w:tc>
        <w:tc>
          <w:tcPr>
            <w:tcW w:w="1021" w:type="dxa"/>
            <w:vMerge w:val="restart"/>
          </w:tcPr>
          <w:p w14:paraId="03F5A570" w14:textId="77777777" w:rsidR="00EA2E57" w:rsidRPr="009E102D" w:rsidRDefault="00EA2E57" w:rsidP="008D11D2">
            <w:pPr>
              <w:jc w:val="center"/>
              <w:rPr>
                <w:rFonts w:eastAsia="Calibri"/>
                <w:bCs/>
                <w:sz w:val="18"/>
                <w:szCs w:val="18"/>
              </w:rPr>
            </w:pPr>
            <w:r w:rsidRPr="009E102D">
              <w:rPr>
                <w:rFonts w:eastAsia="Calibri"/>
                <w:bCs/>
                <w:sz w:val="18"/>
                <w:szCs w:val="18"/>
              </w:rPr>
              <w:t>Programos kodas</w:t>
            </w:r>
          </w:p>
        </w:tc>
        <w:tc>
          <w:tcPr>
            <w:tcW w:w="992" w:type="dxa"/>
            <w:vMerge w:val="restart"/>
          </w:tcPr>
          <w:p w14:paraId="01D85E7B" w14:textId="77777777" w:rsidR="00EA2E57" w:rsidRPr="009E102D" w:rsidRDefault="00EA2E57" w:rsidP="008D11D2">
            <w:pPr>
              <w:jc w:val="center"/>
              <w:rPr>
                <w:rFonts w:eastAsia="Calibri"/>
                <w:bCs/>
                <w:sz w:val="18"/>
                <w:szCs w:val="18"/>
              </w:rPr>
            </w:pPr>
            <w:r w:rsidRPr="009E102D">
              <w:rPr>
                <w:rFonts w:eastAsia="Calibri"/>
                <w:bCs/>
                <w:sz w:val="18"/>
                <w:szCs w:val="18"/>
              </w:rPr>
              <w:t>Programos tikslo kodas</w:t>
            </w:r>
          </w:p>
        </w:tc>
        <w:tc>
          <w:tcPr>
            <w:tcW w:w="992" w:type="dxa"/>
            <w:vMerge w:val="restart"/>
          </w:tcPr>
          <w:p w14:paraId="64AD4F47" w14:textId="77777777" w:rsidR="00EA2E57" w:rsidRPr="009E102D" w:rsidRDefault="00EA2E57" w:rsidP="008D11D2">
            <w:pPr>
              <w:jc w:val="center"/>
              <w:rPr>
                <w:rFonts w:eastAsia="Calibri"/>
                <w:bCs/>
                <w:sz w:val="18"/>
                <w:szCs w:val="18"/>
              </w:rPr>
            </w:pPr>
            <w:r w:rsidRPr="009E102D">
              <w:rPr>
                <w:rFonts w:eastAsia="Calibri"/>
                <w:bCs/>
                <w:sz w:val="18"/>
                <w:szCs w:val="18"/>
              </w:rPr>
              <w:t>Uždavinio kodas</w:t>
            </w:r>
          </w:p>
        </w:tc>
        <w:tc>
          <w:tcPr>
            <w:tcW w:w="5103" w:type="dxa"/>
            <w:vMerge w:val="restart"/>
            <w:vAlign w:val="center"/>
          </w:tcPr>
          <w:p w14:paraId="67C73248" w14:textId="77777777" w:rsidR="00EA2E57" w:rsidRPr="009E102D" w:rsidRDefault="00EA2E57" w:rsidP="008D11D2">
            <w:pPr>
              <w:jc w:val="center"/>
              <w:rPr>
                <w:rFonts w:eastAsia="Calibri"/>
                <w:bCs/>
                <w:szCs w:val="22"/>
              </w:rPr>
            </w:pPr>
            <w:r>
              <w:rPr>
                <w:rFonts w:eastAsia="Calibri"/>
                <w:bCs/>
                <w:sz w:val="22"/>
                <w:szCs w:val="22"/>
              </w:rPr>
              <w:t>Vertinimo kriterijaus pavadinimas</w:t>
            </w:r>
          </w:p>
        </w:tc>
        <w:tc>
          <w:tcPr>
            <w:tcW w:w="1418" w:type="dxa"/>
            <w:vMerge w:val="restart"/>
          </w:tcPr>
          <w:p w14:paraId="5FE0DCAE" w14:textId="77777777" w:rsidR="00EA2E57" w:rsidRPr="009E102D" w:rsidRDefault="00EA2E57" w:rsidP="008D11D2">
            <w:pPr>
              <w:jc w:val="center"/>
              <w:rPr>
                <w:rFonts w:eastAsia="Calibri"/>
                <w:bCs/>
                <w:sz w:val="20"/>
              </w:rPr>
            </w:pPr>
            <w:r w:rsidRPr="009E102D">
              <w:rPr>
                <w:rFonts w:eastAsia="Calibri"/>
                <w:bCs/>
                <w:sz w:val="20"/>
              </w:rPr>
              <w:t xml:space="preserve">Vertinimo kriterijaus kodas </w:t>
            </w:r>
          </w:p>
        </w:tc>
        <w:tc>
          <w:tcPr>
            <w:tcW w:w="2409" w:type="dxa"/>
            <w:gridSpan w:val="3"/>
          </w:tcPr>
          <w:p w14:paraId="507EE7F6" w14:textId="77777777" w:rsidR="00EA2E57" w:rsidRPr="009E102D" w:rsidRDefault="00EA2E57" w:rsidP="008D11D2">
            <w:pPr>
              <w:jc w:val="center"/>
              <w:rPr>
                <w:rFonts w:eastAsia="Calibri"/>
                <w:bCs/>
                <w:sz w:val="20"/>
              </w:rPr>
            </w:pPr>
            <w:r>
              <w:rPr>
                <w:rFonts w:eastAsia="Calibri"/>
                <w:bCs/>
                <w:sz w:val="20"/>
              </w:rPr>
              <w:t xml:space="preserve">Faktiniai duomenys </w:t>
            </w:r>
          </w:p>
        </w:tc>
        <w:tc>
          <w:tcPr>
            <w:tcW w:w="851" w:type="dxa"/>
            <w:vMerge w:val="restart"/>
          </w:tcPr>
          <w:p w14:paraId="2F959FA9" w14:textId="77777777" w:rsidR="00EA2E57" w:rsidRDefault="00EA2E57" w:rsidP="008D11D2">
            <w:pPr>
              <w:jc w:val="center"/>
              <w:rPr>
                <w:rFonts w:eastAsia="Calibri"/>
                <w:bCs/>
                <w:sz w:val="20"/>
              </w:rPr>
            </w:pPr>
            <w:r>
              <w:rPr>
                <w:rFonts w:eastAsia="Calibri"/>
                <w:bCs/>
                <w:sz w:val="20"/>
              </w:rPr>
              <w:t>2020 metų planas</w:t>
            </w:r>
          </w:p>
          <w:p w14:paraId="1A1AE153" w14:textId="588D04E3" w:rsidR="00E80FE8" w:rsidRPr="009E102D" w:rsidRDefault="00E80FE8" w:rsidP="008D11D2">
            <w:pPr>
              <w:jc w:val="center"/>
              <w:rPr>
                <w:rFonts w:eastAsia="Calibri"/>
                <w:bCs/>
                <w:sz w:val="20"/>
              </w:rPr>
            </w:pPr>
            <w:r w:rsidRPr="00E80FE8">
              <w:rPr>
                <w:rFonts w:eastAsia="Calibri"/>
                <w:bCs/>
                <w:sz w:val="14"/>
              </w:rPr>
              <w:t>(savivaldybės m</w:t>
            </w:r>
            <w:r w:rsidR="00E03A4D">
              <w:rPr>
                <w:rFonts w:eastAsia="Calibri"/>
                <w:bCs/>
                <w:sz w:val="14"/>
              </w:rPr>
              <w:t>a</w:t>
            </w:r>
            <w:r w:rsidRPr="00E80FE8">
              <w:rPr>
                <w:rFonts w:eastAsia="Calibri"/>
                <w:bCs/>
                <w:sz w:val="14"/>
              </w:rPr>
              <w:t>stu)</w:t>
            </w:r>
          </w:p>
        </w:tc>
        <w:tc>
          <w:tcPr>
            <w:tcW w:w="1276" w:type="dxa"/>
            <w:vMerge w:val="restart"/>
          </w:tcPr>
          <w:p w14:paraId="1442F935" w14:textId="77777777" w:rsidR="00EA2E57" w:rsidRPr="009E102D" w:rsidRDefault="00EA2E57" w:rsidP="008D11D2">
            <w:pPr>
              <w:jc w:val="center"/>
              <w:rPr>
                <w:rFonts w:eastAsia="Calibri"/>
                <w:bCs/>
                <w:sz w:val="20"/>
              </w:rPr>
            </w:pPr>
            <w:r>
              <w:rPr>
                <w:rFonts w:eastAsia="Calibri"/>
                <w:bCs/>
                <w:sz w:val="20"/>
              </w:rPr>
              <w:t xml:space="preserve">Įvykdymas, proc. </w:t>
            </w:r>
          </w:p>
        </w:tc>
      </w:tr>
      <w:tr w:rsidR="00EA2E57" w:rsidRPr="009E102D" w14:paraId="5C57ECAF" w14:textId="77777777" w:rsidTr="0038386D">
        <w:trPr>
          <w:cantSplit/>
          <w:trHeight w:val="564"/>
        </w:trPr>
        <w:tc>
          <w:tcPr>
            <w:tcW w:w="1101" w:type="dxa"/>
            <w:vMerge/>
          </w:tcPr>
          <w:p w14:paraId="2584746C" w14:textId="77777777" w:rsidR="00EA2E57" w:rsidRPr="009E102D" w:rsidRDefault="00EA2E57" w:rsidP="008D11D2">
            <w:pPr>
              <w:jc w:val="center"/>
              <w:rPr>
                <w:rFonts w:eastAsia="Calibri"/>
                <w:bCs/>
                <w:sz w:val="18"/>
                <w:szCs w:val="18"/>
              </w:rPr>
            </w:pPr>
          </w:p>
        </w:tc>
        <w:tc>
          <w:tcPr>
            <w:tcW w:w="1021" w:type="dxa"/>
            <w:vMerge/>
          </w:tcPr>
          <w:p w14:paraId="65732940" w14:textId="77777777" w:rsidR="00EA2E57" w:rsidRPr="009E102D" w:rsidRDefault="00EA2E57" w:rsidP="008D11D2">
            <w:pPr>
              <w:jc w:val="center"/>
              <w:rPr>
                <w:rFonts w:eastAsia="Calibri"/>
                <w:bCs/>
                <w:sz w:val="18"/>
                <w:szCs w:val="18"/>
              </w:rPr>
            </w:pPr>
          </w:p>
        </w:tc>
        <w:tc>
          <w:tcPr>
            <w:tcW w:w="992" w:type="dxa"/>
            <w:vMerge/>
          </w:tcPr>
          <w:p w14:paraId="0E026A2C" w14:textId="77777777" w:rsidR="00EA2E57" w:rsidRPr="009E102D" w:rsidRDefault="00EA2E57" w:rsidP="008D11D2">
            <w:pPr>
              <w:jc w:val="center"/>
              <w:rPr>
                <w:rFonts w:eastAsia="Calibri"/>
                <w:bCs/>
                <w:sz w:val="18"/>
                <w:szCs w:val="18"/>
              </w:rPr>
            </w:pPr>
          </w:p>
        </w:tc>
        <w:tc>
          <w:tcPr>
            <w:tcW w:w="992" w:type="dxa"/>
            <w:vMerge/>
          </w:tcPr>
          <w:p w14:paraId="0DAFDF5F" w14:textId="77777777" w:rsidR="00EA2E57" w:rsidRPr="009E102D" w:rsidRDefault="00EA2E57" w:rsidP="008D11D2">
            <w:pPr>
              <w:jc w:val="center"/>
              <w:rPr>
                <w:rFonts w:eastAsia="Calibri"/>
                <w:bCs/>
                <w:sz w:val="18"/>
                <w:szCs w:val="18"/>
              </w:rPr>
            </w:pPr>
          </w:p>
        </w:tc>
        <w:tc>
          <w:tcPr>
            <w:tcW w:w="5103" w:type="dxa"/>
            <w:vMerge/>
            <w:vAlign w:val="center"/>
          </w:tcPr>
          <w:p w14:paraId="2F18FAA2" w14:textId="77777777" w:rsidR="00EA2E57" w:rsidRDefault="00EA2E57" w:rsidP="008D11D2">
            <w:pPr>
              <w:jc w:val="center"/>
              <w:rPr>
                <w:rFonts w:eastAsia="Calibri"/>
                <w:bCs/>
                <w:sz w:val="22"/>
                <w:szCs w:val="22"/>
              </w:rPr>
            </w:pPr>
          </w:p>
        </w:tc>
        <w:tc>
          <w:tcPr>
            <w:tcW w:w="1418" w:type="dxa"/>
            <w:vMerge/>
          </w:tcPr>
          <w:p w14:paraId="6C53D863" w14:textId="77777777" w:rsidR="00EA2E57" w:rsidRPr="009E102D" w:rsidRDefault="00EA2E57" w:rsidP="008D11D2">
            <w:pPr>
              <w:jc w:val="center"/>
              <w:rPr>
                <w:rFonts w:eastAsia="Calibri"/>
                <w:bCs/>
                <w:sz w:val="20"/>
              </w:rPr>
            </w:pPr>
          </w:p>
        </w:tc>
        <w:tc>
          <w:tcPr>
            <w:tcW w:w="850" w:type="dxa"/>
          </w:tcPr>
          <w:p w14:paraId="67A14F5D" w14:textId="77777777" w:rsidR="00EA2E57" w:rsidRDefault="00EA2E57" w:rsidP="008D11D2">
            <w:pPr>
              <w:jc w:val="center"/>
              <w:rPr>
                <w:rFonts w:eastAsia="Calibri"/>
                <w:bCs/>
                <w:sz w:val="20"/>
              </w:rPr>
            </w:pPr>
            <w:r>
              <w:rPr>
                <w:rFonts w:eastAsia="Calibri"/>
                <w:bCs/>
                <w:sz w:val="20"/>
              </w:rPr>
              <w:t xml:space="preserve">2018 metai </w:t>
            </w:r>
            <w:r w:rsidRPr="009E102D">
              <w:rPr>
                <w:rFonts w:eastAsia="Calibri"/>
                <w:bCs/>
                <w:sz w:val="20"/>
              </w:rPr>
              <w:t xml:space="preserve"> </w:t>
            </w:r>
          </w:p>
        </w:tc>
        <w:tc>
          <w:tcPr>
            <w:tcW w:w="709" w:type="dxa"/>
          </w:tcPr>
          <w:p w14:paraId="326E974D" w14:textId="77777777" w:rsidR="00EA2E57" w:rsidRDefault="00EA2E57" w:rsidP="008D11D2">
            <w:pPr>
              <w:jc w:val="center"/>
              <w:rPr>
                <w:rFonts w:eastAsia="Calibri"/>
                <w:bCs/>
                <w:sz w:val="20"/>
              </w:rPr>
            </w:pPr>
            <w:r>
              <w:rPr>
                <w:rFonts w:eastAsia="Calibri"/>
                <w:bCs/>
                <w:sz w:val="20"/>
              </w:rPr>
              <w:t>2019 metai</w:t>
            </w:r>
          </w:p>
        </w:tc>
        <w:tc>
          <w:tcPr>
            <w:tcW w:w="850" w:type="dxa"/>
          </w:tcPr>
          <w:p w14:paraId="57AF29C1" w14:textId="77777777" w:rsidR="00EA2E57" w:rsidRDefault="00EA2E57" w:rsidP="008D11D2">
            <w:pPr>
              <w:jc w:val="center"/>
              <w:rPr>
                <w:rFonts w:eastAsia="Calibri"/>
                <w:bCs/>
                <w:sz w:val="20"/>
              </w:rPr>
            </w:pPr>
            <w:r>
              <w:rPr>
                <w:rFonts w:eastAsia="Calibri"/>
                <w:bCs/>
                <w:sz w:val="20"/>
              </w:rPr>
              <w:t xml:space="preserve">2020 metai </w:t>
            </w:r>
            <w:r w:rsidRPr="009E102D">
              <w:rPr>
                <w:rFonts w:eastAsia="Calibri"/>
                <w:bCs/>
                <w:sz w:val="20"/>
              </w:rPr>
              <w:t xml:space="preserve"> </w:t>
            </w:r>
          </w:p>
        </w:tc>
        <w:tc>
          <w:tcPr>
            <w:tcW w:w="851" w:type="dxa"/>
            <w:vMerge/>
          </w:tcPr>
          <w:p w14:paraId="75E1C792" w14:textId="77777777" w:rsidR="00EA2E57" w:rsidRDefault="00EA2E57" w:rsidP="008D11D2">
            <w:pPr>
              <w:jc w:val="center"/>
              <w:rPr>
                <w:rFonts w:eastAsia="Calibri"/>
                <w:bCs/>
                <w:sz w:val="20"/>
              </w:rPr>
            </w:pPr>
          </w:p>
        </w:tc>
        <w:tc>
          <w:tcPr>
            <w:tcW w:w="1276" w:type="dxa"/>
            <w:vMerge/>
          </w:tcPr>
          <w:p w14:paraId="71B232E8" w14:textId="77777777" w:rsidR="00EA2E57" w:rsidRDefault="00EA2E57" w:rsidP="008D11D2">
            <w:pPr>
              <w:jc w:val="center"/>
              <w:rPr>
                <w:rFonts w:eastAsia="Calibri"/>
                <w:bCs/>
                <w:sz w:val="20"/>
              </w:rPr>
            </w:pPr>
          </w:p>
        </w:tc>
      </w:tr>
      <w:tr w:rsidR="004D5F77" w:rsidRPr="009E102D" w14:paraId="24B68D92" w14:textId="77777777" w:rsidTr="0038386D">
        <w:trPr>
          <w:trHeight w:val="428"/>
        </w:trPr>
        <w:tc>
          <w:tcPr>
            <w:tcW w:w="1101" w:type="dxa"/>
            <w:tcBorders>
              <w:top w:val="nil"/>
              <w:left w:val="single" w:sz="4" w:space="0" w:color="auto"/>
              <w:bottom w:val="single" w:sz="4" w:space="0" w:color="auto"/>
              <w:right w:val="single" w:sz="4" w:space="0" w:color="auto"/>
            </w:tcBorders>
            <w:vAlign w:val="center"/>
          </w:tcPr>
          <w:p w14:paraId="341FDFE6" w14:textId="77777777" w:rsidR="004D5F77" w:rsidRPr="006F16AD" w:rsidRDefault="004D5F77" w:rsidP="004D5F77">
            <w:pPr>
              <w:jc w:val="center"/>
              <w:rPr>
                <w:sz w:val="20"/>
                <w:szCs w:val="20"/>
              </w:rPr>
            </w:pPr>
            <w:r>
              <w:rPr>
                <w:sz w:val="20"/>
                <w:szCs w:val="20"/>
              </w:rPr>
              <w:t>3</w:t>
            </w:r>
          </w:p>
        </w:tc>
        <w:tc>
          <w:tcPr>
            <w:tcW w:w="1021" w:type="dxa"/>
            <w:tcBorders>
              <w:top w:val="nil"/>
              <w:left w:val="nil"/>
              <w:bottom w:val="single" w:sz="4" w:space="0" w:color="auto"/>
              <w:right w:val="single" w:sz="4" w:space="0" w:color="auto"/>
            </w:tcBorders>
            <w:vAlign w:val="center"/>
          </w:tcPr>
          <w:p w14:paraId="45DD4ABA" w14:textId="77777777" w:rsidR="004D5F77" w:rsidRPr="006F16AD" w:rsidRDefault="004D5F77" w:rsidP="004D5F77">
            <w:pPr>
              <w:jc w:val="center"/>
              <w:rPr>
                <w:sz w:val="20"/>
                <w:szCs w:val="20"/>
              </w:rPr>
            </w:pPr>
            <w:r>
              <w:rPr>
                <w:sz w:val="20"/>
                <w:szCs w:val="20"/>
              </w:rPr>
              <w:t>3</w:t>
            </w:r>
          </w:p>
        </w:tc>
        <w:tc>
          <w:tcPr>
            <w:tcW w:w="992" w:type="dxa"/>
            <w:tcBorders>
              <w:top w:val="nil"/>
              <w:left w:val="nil"/>
              <w:bottom w:val="single" w:sz="4" w:space="0" w:color="auto"/>
              <w:right w:val="single" w:sz="4" w:space="0" w:color="auto"/>
            </w:tcBorders>
            <w:vAlign w:val="center"/>
          </w:tcPr>
          <w:p w14:paraId="5588A90C" w14:textId="77777777" w:rsidR="004D5F77" w:rsidRPr="006F16AD" w:rsidRDefault="004D5F77" w:rsidP="004D5F77">
            <w:pPr>
              <w:jc w:val="center"/>
              <w:rPr>
                <w:sz w:val="20"/>
                <w:szCs w:val="20"/>
              </w:rPr>
            </w:pPr>
            <w:r w:rsidRPr="006F16AD">
              <w:rPr>
                <w:sz w:val="20"/>
                <w:szCs w:val="20"/>
              </w:rPr>
              <w:t>1</w:t>
            </w:r>
          </w:p>
        </w:tc>
        <w:tc>
          <w:tcPr>
            <w:tcW w:w="992" w:type="dxa"/>
            <w:tcBorders>
              <w:top w:val="nil"/>
              <w:left w:val="nil"/>
              <w:bottom w:val="single" w:sz="4" w:space="0" w:color="auto"/>
              <w:right w:val="single" w:sz="4" w:space="0" w:color="auto"/>
            </w:tcBorders>
            <w:vAlign w:val="center"/>
          </w:tcPr>
          <w:p w14:paraId="76CA0547" w14:textId="77777777" w:rsidR="004D5F77" w:rsidRPr="006F16AD" w:rsidRDefault="004D5F77" w:rsidP="004D5F77">
            <w:pPr>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F395F6B" w14:textId="77777777" w:rsidR="004D5F77" w:rsidRPr="0085248A" w:rsidRDefault="004D5F77" w:rsidP="004D5F77">
            <w:r w:rsidRPr="0085248A">
              <w:t xml:space="preserve">Renginių, kurie skirti platesnei nei rajono auditorijai, dalis, proc. </w:t>
            </w:r>
          </w:p>
        </w:tc>
        <w:tc>
          <w:tcPr>
            <w:tcW w:w="1418" w:type="dxa"/>
            <w:tcBorders>
              <w:top w:val="nil"/>
              <w:left w:val="nil"/>
              <w:bottom w:val="single" w:sz="4" w:space="0" w:color="auto"/>
              <w:right w:val="single" w:sz="4" w:space="0" w:color="auto"/>
            </w:tcBorders>
            <w:vAlign w:val="center"/>
          </w:tcPr>
          <w:p w14:paraId="170E51A2" w14:textId="77777777" w:rsidR="004D5F77" w:rsidRPr="001E6F3D" w:rsidRDefault="004D5F77" w:rsidP="004D5F77">
            <w:pPr>
              <w:rPr>
                <w:szCs w:val="20"/>
              </w:rPr>
            </w:pPr>
            <w:r w:rsidRPr="001E6F3D">
              <w:rPr>
                <w:szCs w:val="20"/>
              </w:rPr>
              <w:t>R-3-1-1</w:t>
            </w:r>
          </w:p>
        </w:tc>
        <w:tc>
          <w:tcPr>
            <w:tcW w:w="850" w:type="dxa"/>
            <w:vAlign w:val="center"/>
          </w:tcPr>
          <w:p w14:paraId="1B5E6B73" w14:textId="77777777" w:rsidR="004D5F77" w:rsidRPr="00D35E4C" w:rsidRDefault="00832B38" w:rsidP="004D5F77">
            <w:pPr>
              <w:jc w:val="center"/>
              <w:rPr>
                <w:rFonts w:eastAsia="Calibri"/>
                <w:sz w:val="18"/>
                <w:szCs w:val="18"/>
              </w:rPr>
            </w:pPr>
            <w:r w:rsidRPr="00D35E4C">
              <w:rPr>
                <w:rFonts w:eastAsia="Calibri"/>
                <w:sz w:val="18"/>
                <w:szCs w:val="18"/>
              </w:rPr>
              <w:t>51,84</w:t>
            </w:r>
          </w:p>
        </w:tc>
        <w:tc>
          <w:tcPr>
            <w:tcW w:w="709" w:type="dxa"/>
            <w:vAlign w:val="center"/>
          </w:tcPr>
          <w:p w14:paraId="104CEC14" w14:textId="77777777" w:rsidR="004D5F77" w:rsidRPr="00D35E4C" w:rsidRDefault="0040491F" w:rsidP="004D5F77">
            <w:pPr>
              <w:jc w:val="center"/>
              <w:rPr>
                <w:rFonts w:eastAsia="Calibri"/>
                <w:sz w:val="18"/>
                <w:szCs w:val="18"/>
              </w:rPr>
            </w:pPr>
            <w:r w:rsidRPr="00D35E4C">
              <w:rPr>
                <w:rFonts w:eastAsia="Calibri"/>
                <w:sz w:val="18"/>
                <w:szCs w:val="18"/>
              </w:rPr>
              <w:t>55,25</w:t>
            </w:r>
          </w:p>
        </w:tc>
        <w:tc>
          <w:tcPr>
            <w:tcW w:w="850" w:type="dxa"/>
            <w:noWrap/>
            <w:vAlign w:val="center"/>
          </w:tcPr>
          <w:p w14:paraId="720971D0" w14:textId="77777777" w:rsidR="004D5F77" w:rsidRPr="00D35E4C" w:rsidRDefault="00950169" w:rsidP="004D5F77">
            <w:pPr>
              <w:jc w:val="center"/>
              <w:rPr>
                <w:rFonts w:eastAsia="Calibri"/>
                <w:sz w:val="18"/>
                <w:szCs w:val="18"/>
              </w:rPr>
            </w:pPr>
            <w:r w:rsidRPr="00D35E4C">
              <w:rPr>
                <w:rFonts w:eastAsia="Calibri"/>
                <w:sz w:val="18"/>
                <w:szCs w:val="18"/>
              </w:rPr>
              <w:t>62,78</w:t>
            </w:r>
          </w:p>
        </w:tc>
        <w:tc>
          <w:tcPr>
            <w:tcW w:w="851" w:type="dxa"/>
            <w:shd w:val="clear" w:color="auto" w:fill="FFF2CC" w:themeFill="accent4" w:themeFillTint="33"/>
            <w:vAlign w:val="center"/>
          </w:tcPr>
          <w:p w14:paraId="6F601B64" w14:textId="77777777" w:rsidR="004D5F77" w:rsidRPr="00D35E4C" w:rsidRDefault="00153B71" w:rsidP="004D5F77">
            <w:pPr>
              <w:jc w:val="center"/>
              <w:rPr>
                <w:rFonts w:eastAsia="Calibri"/>
                <w:sz w:val="18"/>
                <w:szCs w:val="18"/>
              </w:rPr>
            </w:pPr>
            <w:r w:rsidRPr="00D35E4C">
              <w:rPr>
                <w:rFonts w:eastAsia="Calibri"/>
                <w:sz w:val="18"/>
                <w:szCs w:val="18"/>
              </w:rPr>
              <w:t>1</w:t>
            </w:r>
          </w:p>
        </w:tc>
        <w:tc>
          <w:tcPr>
            <w:tcW w:w="1276" w:type="dxa"/>
            <w:vAlign w:val="center"/>
          </w:tcPr>
          <w:p w14:paraId="5507BBA5" w14:textId="77777777" w:rsidR="004D5F77" w:rsidRPr="009E102D" w:rsidRDefault="00950169" w:rsidP="004D5F77">
            <w:pPr>
              <w:jc w:val="center"/>
              <w:rPr>
                <w:rFonts w:eastAsia="Calibri"/>
                <w:sz w:val="18"/>
                <w:szCs w:val="18"/>
              </w:rPr>
            </w:pPr>
            <w:r>
              <w:rPr>
                <w:rFonts w:eastAsia="Calibri"/>
                <w:sz w:val="18"/>
                <w:szCs w:val="18"/>
              </w:rPr>
              <w:t>6278</w:t>
            </w:r>
          </w:p>
        </w:tc>
      </w:tr>
      <w:tr w:rsidR="004D5F77" w:rsidRPr="009E102D" w14:paraId="58D73FAB" w14:textId="77777777" w:rsidTr="0038386D">
        <w:trPr>
          <w:trHeight w:val="367"/>
        </w:trPr>
        <w:tc>
          <w:tcPr>
            <w:tcW w:w="1101" w:type="dxa"/>
            <w:tcBorders>
              <w:top w:val="nil"/>
              <w:left w:val="single" w:sz="4" w:space="0" w:color="auto"/>
              <w:bottom w:val="single" w:sz="4" w:space="0" w:color="auto"/>
              <w:right w:val="single" w:sz="4" w:space="0" w:color="auto"/>
            </w:tcBorders>
            <w:vAlign w:val="center"/>
          </w:tcPr>
          <w:p w14:paraId="0A61F1B5" w14:textId="77777777" w:rsidR="004D5F77" w:rsidRDefault="004D5F77" w:rsidP="004D5F77">
            <w:pPr>
              <w:jc w:val="center"/>
              <w:rPr>
                <w:sz w:val="20"/>
                <w:szCs w:val="20"/>
              </w:rPr>
            </w:pPr>
            <w:r>
              <w:rPr>
                <w:sz w:val="20"/>
                <w:szCs w:val="20"/>
              </w:rPr>
              <w:t>3</w:t>
            </w:r>
          </w:p>
        </w:tc>
        <w:tc>
          <w:tcPr>
            <w:tcW w:w="1021" w:type="dxa"/>
            <w:tcBorders>
              <w:top w:val="nil"/>
              <w:left w:val="nil"/>
              <w:bottom w:val="single" w:sz="4" w:space="0" w:color="auto"/>
              <w:right w:val="single" w:sz="4" w:space="0" w:color="auto"/>
            </w:tcBorders>
            <w:vAlign w:val="center"/>
          </w:tcPr>
          <w:p w14:paraId="6A827429" w14:textId="77777777" w:rsidR="004D5F77" w:rsidRDefault="004D5F77" w:rsidP="004D5F77">
            <w:pPr>
              <w:jc w:val="center"/>
              <w:rPr>
                <w:sz w:val="20"/>
                <w:szCs w:val="20"/>
              </w:rPr>
            </w:pPr>
            <w:r>
              <w:rPr>
                <w:sz w:val="20"/>
                <w:szCs w:val="20"/>
              </w:rPr>
              <w:t>3</w:t>
            </w:r>
          </w:p>
        </w:tc>
        <w:tc>
          <w:tcPr>
            <w:tcW w:w="992" w:type="dxa"/>
            <w:tcBorders>
              <w:top w:val="nil"/>
              <w:left w:val="nil"/>
              <w:bottom w:val="single" w:sz="4" w:space="0" w:color="auto"/>
              <w:right w:val="single" w:sz="4" w:space="0" w:color="auto"/>
            </w:tcBorders>
            <w:vAlign w:val="center"/>
          </w:tcPr>
          <w:p w14:paraId="29AF26B5" w14:textId="77777777" w:rsidR="004D5F77" w:rsidRPr="006F16AD" w:rsidRDefault="004D5F77" w:rsidP="004D5F77">
            <w:pPr>
              <w:jc w:val="center"/>
              <w:rPr>
                <w:sz w:val="20"/>
                <w:szCs w:val="20"/>
              </w:rPr>
            </w:pPr>
            <w:r w:rsidRPr="006F16AD">
              <w:rPr>
                <w:sz w:val="20"/>
                <w:szCs w:val="20"/>
              </w:rPr>
              <w:t>1</w:t>
            </w:r>
          </w:p>
        </w:tc>
        <w:tc>
          <w:tcPr>
            <w:tcW w:w="992" w:type="dxa"/>
            <w:tcBorders>
              <w:top w:val="nil"/>
              <w:left w:val="nil"/>
              <w:bottom w:val="single" w:sz="4" w:space="0" w:color="auto"/>
              <w:right w:val="single" w:sz="4" w:space="0" w:color="auto"/>
            </w:tcBorders>
            <w:vAlign w:val="center"/>
          </w:tcPr>
          <w:p w14:paraId="3F6CB11D" w14:textId="77777777" w:rsidR="004D5F77" w:rsidRPr="006F16AD" w:rsidRDefault="004D5F77" w:rsidP="004D5F77">
            <w:pPr>
              <w:jc w:val="center"/>
              <w:rPr>
                <w:sz w:val="20"/>
                <w:szCs w:val="20"/>
              </w:rPr>
            </w:pPr>
          </w:p>
        </w:tc>
        <w:tc>
          <w:tcPr>
            <w:tcW w:w="5103" w:type="dxa"/>
            <w:tcBorders>
              <w:top w:val="nil"/>
              <w:left w:val="nil"/>
              <w:bottom w:val="single" w:sz="4" w:space="0" w:color="auto"/>
              <w:right w:val="single" w:sz="4" w:space="0" w:color="auto"/>
            </w:tcBorders>
          </w:tcPr>
          <w:p w14:paraId="47D38AB0" w14:textId="77777777" w:rsidR="004D5F77" w:rsidRDefault="004D5F77" w:rsidP="004D5F77">
            <w:r w:rsidRPr="0085248A">
              <w:t>Iniciatyvų,  įgyvendintų bendradarbiaujant kultūros įstaigoms tarpusavyje, skaičius</w:t>
            </w:r>
          </w:p>
        </w:tc>
        <w:tc>
          <w:tcPr>
            <w:tcW w:w="1418" w:type="dxa"/>
            <w:tcBorders>
              <w:top w:val="nil"/>
              <w:left w:val="nil"/>
              <w:bottom w:val="single" w:sz="4" w:space="0" w:color="auto"/>
              <w:right w:val="single" w:sz="4" w:space="0" w:color="auto"/>
            </w:tcBorders>
            <w:vAlign w:val="center"/>
          </w:tcPr>
          <w:p w14:paraId="197C6405" w14:textId="77777777" w:rsidR="004D5F77" w:rsidRPr="001E6F3D" w:rsidRDefault="004D5F77" w:rsidP="004D5F77">
            <w:pPr>
              <w:rPr>
                <w:szCs w:val="20"/>
              </w:rPr>
            </w:pPr>
            <w:r w:rsidRPr="001E6F3D">
              <w:rPr>
                <w:szCs w:val="20"/>
              </w:rPr>
              <w:t>P-3-1-1-1</w:t>
            </w:r>
          </w:p>
        </w:tc>
        <w:tc>
          <w:tcPr>
            <w:tcW w:w="850" w:type="dxa"/>
            <w:vAlign w:val="center"/>
          </w:tcPr>
          <w:p w14:paraId="5415E4BD" w14:textId="77777777" w:rsidR="004D5F77" w:rsidRPr="009E102D" w:rsidRDefault="003014C8" w:rsidP="004D5F77">
            <w:pPr>
              <w:jc w:val="center"/>
              <w:rPr>
                <w:rFonts w:eastAsia="Calibri"/>
                <w:sz w:val="18"/>
                <w:szCs w:val="18"/>
              </w:rPr>
            </w:pPr>
            <w:r>
              <w:rPr>
                <w:rFonts w:eastAsia="Calibri"/>
                <w:sz w:val="18"/>
                <w:szCs w:val="18"/>
              </w:rPr>
              <w:t>50</w:t>
            </w:r>
          </w:p>
        </w:tc>
        <w:tc>
          <w:tcPr>
            <w:tcW w:w="709" w:type="dxa"/>
            <w:vAlign w:val="center"/>
          </w:tcPr>
          <w:p w14:paraId="66F50717" w14:textId="77777777" w:rsidR="004D5F77" w:rsidRPr="009E102D" w:rsidRDefault="003014C8" w:rsidP="004D5F77">
            <w:pPr>
              <w:jc w:val="center"/>
              <w:rPr>
                <w:rFonts w:eastAsia="Calibri"/>
                <w:sz w:val="18"/>
                <w:szCs w:val="18"/>
              </w:rPr>
            </w:pPr>
            <w:r>
              <w:rPr>
                <w:rFonts w:eastAsia="Calibri"/>
                <w:sz w:val="18"/>
                <w:szCs w:val="18"/>
              </w:rPr>
              <w:t>55</w:t>
            </w:r>
          </w:p>
        </w:tc>
        <w:tc>
          <w:tcPr>
            <w:tcW w:w="850" w:type="dxa"/>
            <w:noWrap/>
            <w:vAlign w:val="center"/>
          </w:tcPr>
          <w:p w14:paraId="611DF4CA" w14:textId="77777777" w:rsidR="004D5F77" w:rsidRPr="009E102D" w:rsidRDefault="003014C8" w:rsidP="004D5F77">
            <w:pPr>
              <w:jc w:val="center"/>
              <w:rPr>
                <w:rFonts w:eastAsia="Calibri"/>
                <w:sz w:val="18"/>
                <w:szCs w:val="18"/>
              </w:rPr>
            </w:pPr>
            <w:r>
              <w:rPr>
                <w:rFonts w:eastAsia="Calibri"/>
                <w:sz w:val="18"/>
                <w:szCs w:val="18"/>
              </w:rPr>
              <w:t>23</w:t>
            </w:r>
          </w:p>
        </w:tc>
        <w:tc>
          <w:tcPr>
            <w:tcW w:w="851" w:type="dxa"/>
            <w:shd w:val="clear" w:color="auto" w:fill="FFF2CC" w:themeFill="accent4" w:themeFillTint="33"/>
            <w:vAlign w:val="center"/>
          </w:tcPr>
          <w:p w14:paraId="5544D7C0" w14:textId="77777777" w:rsidR="004D5F77" w:rsidRPr="003014C8" w:rsidRDefault="00153B71" w:rsidP="004D5F77">
            <w:pPr>
              <w:jc w:val="center"/>
              <w:rPr>
                <w:rFonts w:eastAsia="Calibri"/>
                <w:sz w:val="18"/>
                <w:szCs w:val="18"/>
              </w:rPr>
            </w:pPr>
            <w:r w:rsidRPr="003014C8">
              <w:rPr>
                <w:rFonts w:eastAsia="Calibri"/>
                <w:sz w:val="18"/>
                <w:szCs w:val="18"/>
              </w:rPr>
              <w:t>20</w:t>
            </w:r>
          </w:p>
        </w:tc>
        <w:tc>
          <w:tcPr>
            <w:tcW w:w="1276" w:type="dxa"/>
            <w:vAlign w:val="center"/>
          </w:tcPr>
          <w:p w14:paraId="4D15CFF1" w14:textId="77777777" w:rsidR="004D5F77" w:rsidRPr="009E102D" w:rsidRDefault="00996912" w:rsidP="004D5F77">
            <w:pPr>
              <w:jc w:val="center"/>
              <w:rPr>
                <w:rFonts w:eastAsia="Calibri"/>
                <w:sz w:val="18"/>
                <w:szCs w:val="18"/>
              </w:rPr>
            </w:pPr>
            <w:r>
              <w:rPr>
                <w:rFonts w:eastAsia="Calibri"/>
                <w:sz w:val="18"/>
                <w:szCs w:val="18"/>
              </w:rPr>
              <w:t>115</w:t>
            </w:r>
          </w:p>
        </w:tc>
      </w:tr>
      <w:tr w:rsidR="00E10A5F" w:rsidRPr="009E102D" w14:paraId="1B66FC86" w14:textId="77777777" w:rsidTr="0038386D">
        <w:trPr>
          <w:trHeight w:val="367"/>
        </w:trPr>
        <w:tc>
          <w:tcPr>
            <w:tcW w:w="1101" w:type="dxa"/>
            <w:tcBorders>
              <w:top w:val="nil"/>
              <w:left w:val="single" w:sz="4" w:space="0" w:color="auto"/>
              <w:bottom w:val="single" w:sz="4" w:space="0" w:color="auto"/>
              <w:right w:val="single" w:sz="4" w:space="0" w:color="auto"/>
            </w:tcBorders>
            <w:vAlign w:val="center"/>
          </w:tcPr>
          <w:p w14:paraId="54B26B45" w14:textId="77777777" w:rsidR="00E10A5F" w:rsidRDefault="00E10A5F" w:rsidP="00E10A5F">
            <w:pPr>
              <w:jc w:val="center"/>
              <w:rPr>
                <w:sz w:val="20"/>
                <w:szCs w:val="20"/>
              </w:rPr>
            </w:pPr>
            <w:r>
              <w:rPr>
                <w:sz w:val="20"/>
                <w:szCs w:val="20"/>
              </w:rPr>
              <w:t>3</w:t>
            </w:r>
          </w:p>
        </w:tc>
        <w:tc>
          <w:tcPr>
            <w:tcW w:w="1021" w:type="dxa"/>
            <w:tcBorders>
              <w:top w:val="nil"/>
              <w:left w:val="nil"/>
              <w:bottom w:val="single" w:sz="4" w:space="0" w:color="auto"/>
              <w:right w:val="single" w:sz="4" w:space="0" w:color="auto"/>
            </w:tcBorders>
            <w:vAlign w:val="center"/>
          </w:tcPr>
          <w:p w14:paraId="5BCA2256" w14:textId="77777777" w:rsidR="00E10A5F" w:rsidRDefault="00E10A5F" w:rsidP="00E10A5F">
            <w:pPr>
              <w:jc w:val="center"/>
              <w:rPr>
                <w:sz w:val="20"/>
                <w:szCs w:val="20"/>
              </w:rPr>
            </w:pPr>
            <w:r>
              <w:rPr>
                <w:sz w:val="20"/>
                <w:szCs w:val="20"/>
              </w:rPr>
              <w:t>3</w:t>
            </w:r>
          </w:p>
        </w:tc>
        <w:tc>
          <w:tcPr>
            <w:tcW w:w="992" w:type="dxa"/>
            <w:tcBorders>
              <w:top w:val="nil"/>
              <w:left w:val="nil"/>
              <w:bottom w:val="single" w:sz="4" w:space="0" w:color="auto"/>
              <w:right w:val="single" w:sz="4" w:space="0" w:color="auto"/>
            </w:tcBorders>
            <w:vAlign w:val="center"/>
          </w:tcPr>
          <w:p w14:paraId="74942923" w14:textId="77777777" w:rsidR="00E10A5F" w:rsidRPr="006F16AD" w:rsidRDefault="00E10A5F" w:rsidP="00E10A5F">
            <w:pPr>
              <w:jc w:val="center"/>
              <w:rPr>
                <w:sz w:val="20"/>
                <w:szCs w:val="20"/>
              </w:rPr>
            </w:pPr>
            <w:r>
              <w:rPr>
                <w:sz w:val="20"/>
                <w:szCs w:val="20"/>
              </w:rPr>
              <w:t>4</w:t>
            </w:r>
          </w:p>
        </w:tc>
        <w:tc>
          <w:tcPr>
            <w:tcW w:w="992" w:type="dxa"/>
            <w:tcBorders>
              <w:top w:val="nil"/>
              <w:left w:val="nil"/>
              <w:bottom w:val="single" w:sz="4" w:space="0" w:color="auto"/>
              <w:right w:val="single" w:sz="4" w:space="0" w:color="auto"/>
            </w:tcBorders>
            <w:vAlign w:val="center"/>
          </w:tcPr>
          <w:p w14:paraId="72FB1321" w14:textId="77777777" w:rsidR="00E10A5F" w:rsidRPr="006F16AD" w:rsidRDefault="00E10A5F" w:rsidP="00E10A5F">
            <w:pPr>
              <w:jc w:val="center"/>
              <w:rPr>
                <w:sz w:val="20"/>
                <w:szCs w:val="20"/>
              </w:rPr>
            </w:pPr>
          </w:p>
        </w:tc>
        <w:tc>
          <w:tcPr>
            <w:tcW w:w="5103" w:type="dxa"/>
            <w:tcBorders>
              <w:top w:val="nil"/>
              <w:left w:val="nil"/>
              <w:bottom w:val="single" w:sz="4" w:space="0" w:color="auto"/>
              <w:right w:val="single" w:sz="4" w:space="0" w:color="auto"/>
            </w:tcBorders>
          </w:tcPr>
          <w:p w14:paraId="2519DD17" w14:textId="77777777" w:rsidR="00E10A5F" w:rsidRPr="009B6EE1" w:rsidRDefault="00E10A5F" w:rsidP="00E10A5F">
            <w:r w:rsidRPr="009B6EE1">
              <w:t xml:space="preserve">Jaunimui skirtų renginių skaičius  </w:t>
            </w:r>
          </w:p>
        </w:tc>
        <w:tc>
          <w:tcPr>
            <w:tcW w:w="1418" w:type="dxa"/>
            <w:tcBorders>
              <w:top w:val="nil"/>
              <w:left w:val="nil"/>
              <w:bottom w:val="single" w:sz="4" w:space="0" w:color="auto"/>
              <w:right w:val="single" w:sz="4" w:space="0" w:color="auto"/>
            </w:tcBorders>
            <w:vAlign w:val="center"/>
          </w:tcPr>
          <w:p w14:paraId="6C4377D2" w14:textId="77777777" w:rsidR="00E10A5F" w:rsidRPr="001E6F3D" w:rsidRDefault="00E10A5F" w:rsidP="00E10A5F">
            <w:pPr>
              <w:rPr>
                <w:szCs w:val="20"/>
              </w:rPr>
            </w:pPr>
            <w:r w:rsidRPr="001E6F3D">
              <w:rPr>
                <w:szCs w:val="20"/>
              </w:rPr>
              <w:t>R-3-4-1-1</w:t>
            </w:r>
          </w:p>
        </w:tc>
        <w:tc>
          <w:tcPr>
            <w:tcW w:w="850" w:type="dxa"/>
            <w:vAlign w:val="center"/>
          </w:tcPr>
          <w:p w14:paraId="7358A387" w14:textId="77777777" w:rsidR="00E10A5F" w:rsidRPr="00710416" w:rsidRDefault="00710416" w:rsidP="00E10A5F">
            <w:pPr>
              <w:jc w:val="center"/>
              <w:rPr>
                <w:rFonts w:eastAsia="Calibri"/>
                <w:sz w:val="18"/>
                <w:szCs w:val="18"/>
              </w:rPr>
            </w:pPr>
            <w:r w:rsidRPr="00710416">
              <w:rPr>
                <w:rFonts w:eastAsia="Calibri"/>
                <w:sz w:val="18"/>
                <w:szCs w:val="18"/>
              </w:rPr>
              <w:t>41</w:t>
            </w:r>
          </w:p>
        </w:tc>
        <w:tc>
          <w:tcPr>
            <w:tcW w:w="709" w:type="dxa"/>
            <w:vAlign w:val="center"/>
          </w:tcPr>
          <w:p w14:paraId="2A867625" w14:textId="77777777" w:rsidR="00E10A5F" w:rsidRPr="00710416" w:rsidRDefault="00710416" w:rsidP="00E10A5F">
            <w:pPr>
              <w:jc w:val="center"/>
              <w:rPr>
                <w:rFonts w:eastAsia="Calibri"/>
                <w:sz w:val="18"/>
                <w:szCs w:val="18"/>
              </w:rPr>
            </w:pPr>
            <w:r w:rsidRPr="00710416">
              <w:rPr>
                <w:rFonts w:eastAsia="Calibri"/>
                <w:sz w:val="18"/>
                <w:szCs w:val="18"/>
              </w:rPr>
              <w:t>43</w:t>
            </w:r>
          </w:p>
        </w:tc>
        <w:tc>
          <w:tcPr>
            <w:tcW w:w="850" w:type="dxa"/>
            <w:noWrap/>
            <w:vAlign w:val="center"/>
          </w:tcPr>
          <w:p w14:paraId="036F25EA" w14:textId="77777777" w:rsidR="00E10A5F" w:rsidRPr="00710416" w:rsidRDefault="00710416" w:rsidP="00E10A5F">
            <w:pPr>
              <w:jc w:val="center"/>
              <w:rPr>
                <w:rFonts w:eastAsia="Calibri"/>
                <w:sz w:val="18"/>
                <w:szCs w:val="18"/>
              </w:rPr>
            </w:pPr>
            <w:r w:rsidRPr="00710416">
              <w:rPr>
                <w:rFonts w:eastAsia="Calibri"/>
                <w:sz w:val="18"/>
                <w:szCs w:val="18"/>
              </w:rPr>
              <w:t>20</w:t>
            </w:r>
          </w:p>
        </w:tc>
        <w:tc>
          <w:tcPr>
            <w:tcW w:w="851" w:type="dxa"/>
            <w:shd w:val="clear" w:color="auto" w:fill="FFF2CC" w:themeFill="accent4" w:themeFillTint="33"/>
            <w:vAlign w:val="center"/>
          </w:tcPr>
          <w:p w14:paraId="5A0E2586" w14:textId="77777777" w:rsidR="00E10A5F" w:rsidRPr="003014C8" w:rsidRDefault="00153B71" w:rsidP="00E10A5F">
            <w:pPr>
              <w:jc w:val="center"/>
              <w:rPr>
                <w:rFonts w:eastAsia="Calibri"/>
                <w:sz w:val="18"/>
                <w:szCs w:val="18"/>
              </w:rPr>
            </w:pPr>
            <w:r w:rsidRPr="003014C8">
              <w:rPr>
                <w:rFonts w:eastAsia="Calibri"/>
                <w:sz w:val="18"/>
                <w:szCs w:val="18"/>
              </w:rPr>
              <w:t>20</w:t>
            </w:r>
          </w:p>
        </w:tc>
        <w:tc>
          <w:tcPr>
            <w:tcW w:w="1276" w:type="dxa"/>
            <w:vAlign w:val="center"/>
          </w:tcPr>
          <w:p w14:paraId="6BC26343" w14:textId="77777777" w:rsidR="00E10A5F" w:rsidRPr="009E102D" w:rsidRDefault="00996912" w:rsidP="00E10A5F">
            <w:pPr>
              <w:jc w:val="center"/>
              <w:rPr>
                <w:rFonts w:eastAsia="Calibri"/>
                <w:sz w:val="18"/>
                <w:szCs w:val="18"/>
              </w:rPr>
            </w:pPr>
            <w:r>
              <w:rPr>
                <w:rFonts w:eastAsia="Calibri"/>
                <w:sz w:val="18"/>
                <w:szCs w:val="18"/>
              </w:rPr>
              <w:t>100</w:t>
            </w:r>
          </w:p>
        </w:tc>
      </w:tr>
      <w:tr w:rsidR="0042157E" w:rsidRPr="009E102D" w14:paraId="46CCEC64" w14:textId="77777777" w:rsidTr="0038386D">
        <w:trPr>
          <w:trHeight w:val="367"/>
        </w:trPr>
        <w:tc>
          <w:tcPr>
            <w:tcW w:w="1101" w:type="dxa"/>
            <w:tcBorders>
              <w:top w:val="nil"/>
              <w:left w:val="single" w:sz="4" w:space="0" w:color="auto"/>
              <w:bottom w:val="single" w:sz="4" w:space="0" w:color="auto"/>
              <w:right w:val="single" w:sz="4" w:space="0" w:color="auto"/>
            </w:tcBorders>
            <w:vAlign w:val="center"/>
          </w:tcPr>
          <w:p w14:paraId="58F26BD5" w14:textId="77777777" w:rsidR="0042157E" w:rsidRDefault="0042157E" w:rsidP="0042157E">
            <w:pPr>
              <w:jc w:val="center"/>
              <w:rPr>
                <w:sz w:val="20"/>
                <w:szCs w:val="20"/>
              </w:rPr>
            </w:pPr>
            <w:r>
              <w:rPr>
                <w:sz w:val="20"/>
                <w:szCs w:val="20"/>
              </w:rPr>
              <w:t>3</w:t>
            </w:r>
          </w:p>
        </w:tc>
        <w:tc>
          <w:tcPr>
            <w:tcW w:w="1021" w:type="dxa"/>
            <w:tcBorders>
              <w:top w:val="nil"/>
              <w:left w:val="nil"/>
              <w:bottom w:val="single" w:sz="4" w:space="0" w:color="auto"/>
              <w:right w:val="single" w:sz="4" w:space="0" w:color="auto"/>
            </w:tcBorders>
            <w:vAlign w:val="center"/>
          </w:tcPr>
          <w:p w14:paraId="671FAB56" w14:textId="77777777" w:rsidR="0042157E" w:rsidRDefault="0042157E" w:rsidP="0042157E">
            <w:pPr>
              <w:jc w:val="center"/>
              <w:rPr>
                <w:sz w:val="20"/>
                <w:szCs w:val="20"/>
              </w:rPr>
            </w:pPr>
            <w:r>
              <w:rPr>
                <w:sz w:val="20"/>
                <w:szCs w:val="20"/>
              </w:rPr>
              <w:t>3</w:t>
            </w:r>
          </w:p>
        </w:tc>
        <w:tc>
          <w:tcPr>
            <w:tcW w:w="992" w:type="dxa"/>
            <w:tcBorders>
              <w:top w:val="nil"/>
              <w:left w:val="nil"/>
              <w:bottom w:val="single" w:sz="4" w:space="0" w:color="auto"/>
              <w:right w:val="single" w:sz="4" w:space="0" w:color="auto"/>
            </w:tcBorders>
            <w:vAlign w:val="center"/>
          </w:tcPr>
          <w:p w14:paraId="44FCDDBB" w14:textId="77777777" w:rsidR="0042157E" w:rsidRPr="006F16AD" w:rsidRDefault="0042157E" w:rsidP="0042157E">
            <w:pPr>
              <w:jc w:val="center"/>
              <w:rPr>
                <w:sz w:val="20"/>
                <w:szCs w:val="20"/>
              </w:rPr>
            </w:pPr>
            <w:r>
              <w:rPr>
                <w:sz w:val="20"/>
                <w:szCs w:val="20"/>
              </w:rPr>
              <w:t>4</w:t>
            </w:r>
          </w:p>
        </w:tc>
        <w:tc>
          <w:tcPr>
            <w:tcW w:w="992" w:type="dxa"/>
            <w:tcBorders>
              <w:top w:val="nil"/>
              <w:left w:val="nil"/>
              <w:bottom w:val="single" w:sz="4" w:space="0" w:color="auto"/>
              <w:right w:val="single" w:sz="4" w:space="0" w:color="auto"/>
            </w:tcBorders>
            <w:vAlign w:val="center"/>
          </w:tcPr>
          <w:p w14:paraId="33D32075" w14:textId="77777777" w:rsidR="0042157E" w:rsidRPr="006F16AD" w:rsidRDefault="0042157E" w:rsidP="0042157E">
            <w:pPr>
              <w:jc w:val="center"/>
              <w:rPr>
                <w:sz w:val="20"/>
                <w:szCs w:val="20"/>
              </w:rPr>
            </w:pPr>
          </w:p>
        </w:tc>
        <w:tc>
          <w:tcPr>
            <w:tcW w:w="5103" w:type="dxa"/>
            <w:tcBorders>
              <w:top w:val="nil"/>
              <w:left w:val="nil"/>
              <w:bottom w:val="single" w:sz="4" w:space="0" w:color="auto"/>
              <w:right w:val="single" w:sz="4" w:space="0" w:color="auto"/>
            </w:tcBorders>
          </w:tcPr>
          <w:p w14:paraId="4590F3F5" w14:textId="77777777" w:rsidR="0042157E" w:rsidRDefault="0042157E" w:rsidP="0042157E">
            <w:r w:rsidRPr="009B6EE1">
              <w:t>Įgyvendintų projektų skaičius, vnt.</w:t>
            </w:r>
          </w:p>
        </w:tc>
        <w:tc>
          <w:tcPr>
            <w:tcW w:w="1418" w:type="dxa"/>
            <w:tcBorders>
              <w:top w:val="nil"/>
              <w:left w:val="nil"/>
              <w:bottom w:val="single" w:sz="4" w:space="0" w:color="auto"/>
              <w:right w:val="single" w:sz="4" w:space="0" w:color="auto"/>
            </w:tcBorders>
            <w:vAlign w:val="center"/>
          </w:tcPr>
          <w:p w14:paraId="64EBD478" w14:textId="77777777" w:rsidR="0042157E" w:rsidRPr="001E6F3D" w:rsidRDefault="0042157E" w:rsidP="0042157E">
            <w:pPr>
              <w:rPr>
                <w:szCs w:val="20"/>
              </w:rPr>
            </w:pPr>
            <w:r w:rsidRPr="001E6F3D">
              <w:rPr>
                <w:szCs w:val="20"/>
              </w:rPr>
              <w:t>R-3-4-1-2</w:t>
            </w:r>
          </w:p>
        </w:tc>
        <w:tc>
          <w:tcPr>
            <w:tcW w:w="850" w:type="dxa"/>
            <w:vAlign w:val="center"/>
          </w:tcPr>
          <w:p w14:paraId="4642F0F6" w14:textId="77777777" w:rsidR="0042157E" w:rsidRPr="009E102D" w:rsidRDefault="0042157E" w:rsidP="0042157E">
            <w:pPr>
              <w:jc w:val="center"/>
              <w:rPr>
                <w:rFonts w:eastAsia="Calibri"/>
                <w:sz w:val="18"/>
                <w:szCs w:val="18"/>
              </w:rPr>
            </w:pPr>
            <w:r>
              <w:rPr>
                <w:rFonts w:eastAsia="Calibri"/>
                <w:sz w:val="18"/>
                <w:szCs w:val="18"/>
              </w:rPr>
              <w:t>4</w:t>
            </w:r>
          </w:p>
        </w:tc>
        <w:tc>
          <w:tcPr>
            <w:tcW w:w="709" w:type="dxa"/>
            <w:vAlign w:val="center"/>
          </w:tcPr>
          <w:p w14:paraId="1122E064" w14:textId="77777777" w:rsidR="0042157E" w:rsidRPr="009E102D" w:rsidRDefault="0042157E" w:rsidP="0042157E">
            <w:pPr>
              <w:jc w:val="center"/>
              <w:rPr>
                <w:rFonts w:eastAsia="Calibri"/>
                <w:sz w:val="18"/>
                <w:szCs w:val="18"/>
              </w:rPr>
            </w:pPr>
            <w:r>
              <w:rPr>
                <w:rFonts w:eastAsia="Calibri"/>
                <w:sz w:val="18"/>
                <w:szCs w:val="18"/>
              </w:rPr>
              <w:t>7</w:t>
            </w:r>
          </w:p>
        </w:tc>
        <w:tc>
          <w:tcPr>
            <w:tcW w:w="850" w:type="dxa"/>
            <w:noWrap/>
            <w:vAlign w:val="center"/>
          </w:tcPr>
          <w:p w14:paraId="020719B3" w14:textId="77777777" w:rsidR="0042157E" w:rsidRPr="009E102D" w:rsidRDefault="0042157E" w:rsidP="0042157E">
            <w:pPr>
              <w:jc w:val="center"/>
              <w:rPr>
                <w:rFonts w:eastAsia="Calibri"/>
                <w:sz w:val="18"/>
                <w:szCs w:val="18"/>
              </w:rPr>
            </w:pPr>
            <w:r>
              <w:rPr>
                <w:rFonts w:eastAsia="Calibri"/>
                <w:sz w:val="18"/>
                <w:szCs w:val="18"/>
              </w:rPr>
              <w:t>2</w:t>
            </w:r>
          </w:p>
        </w:tc>
        <w:tc>
          <w:tcPr>
            <w:tcW w:w="851" w:type="dxa"/>
            <w:shd w:val="clear" w:color="auto" w:fill="FFF2CC" w:themeFill="accent4" w:themeFillTint="33"/>
            <w:vAlign w:val="center"/>
          </w:tcPr>
          <w:p w14:paraId="6571926F" w14:textId="77777777" w:rsidR="0042157E" w:rsidRPr="003014C8" w:rsidRDefault="0042157E" w:rsidP="0042157E">
            <w:pPr>
              <w:jc w:val="center"/>
              <w:rPr>
                <w:rFonts w:eastAsia="Calibri"/>
                <w:sz w:val="18"/>
                <w:szCs w:val="18"/>
              </w:rPr>
            </w:pPr>
            <w:r w:rsidRPr="003014C8">
              <w:rPr>
                <w:rFonts w:eastAsia="Calibri"/>
                <w:sz w:val="18"/>
                <w:szCs w:val="18"/>
              </w:rPr>
              <w:t>3</w:t>
            </w:r>
          </w:p>
        </w:tc>
        <w:tc>
          <w:tcPr>
            <w:tcW w:w="1276" w:type="dxa"/>
            <w:vAlign w:val="center"/>
          </w:tcPr>
          <w:p w14:paraId="510BA52F" w14:textId="77777777" w:rsidR="0042157E" w:rsidRPr="009E102D" w:rsidRDefault="00950169" w:rsidP="0042157E">
            <w:pPr>
              <w:jc w:val="center"/>
              <w:rPr>
                <w:rFonts w:eastAsia="Calibri"/>
                <w:sz w:val="18"/>
                <w:szCs w:val="18"/>
              </w:rPr>
            </w:pPr>
            <w:r>
              <w:rPr>
                <w:rFonts w:eastAsia="Calibri"/>
                <w:sz w:val="18"/>
                <w:szCs w:val="18"/>
              </w:rPr>
              <w:t>66,67</w:t>
            </w:r>
          </w:p>
        </w:tc>
      </w:tr>
      <w:tr w:rsidR="0042157E" w:rsidRPr="009E102D" w14:paraId="37DFE3D8" w14:textId="77777777" w:rsidTr="0038386D">
        <w:trPr>
          <w:trHeight w:val="367"/>
        </w:trPr>
        <w:tc>
          <w:tcPr>
            <w:tcW w:w="1101" w:type="dxa"/>
            <w:tcBorders>
              <w:top w:val="nil"/>
              <w:left w:val="single" w:sz="4" w:space="0" w:color="auto"/>
              <w:bottom w:val="single" w:sz="4" w:space="0" w:color="auto"/>
              <w:right w:val="single" w:sz="4" w:space="0" w:color="auto"/>
            </w:tcBorders>
            <w:vAlign w:val="center"/>
          </w:tcPr>
          <w:p w14:paraId="3E959CE2" w14:textId="77777777" w:rsidR="0042157E" w:rsidRPr="001D5181" w:rsidRDefault="0042157E" w:rsidP="0042157E">
            <w:pPr>
              <w:jc w:val="center"/>
              <w:rPr>
                <w:sz w:val="20"/>
                <w:szCs w:val="20"/>
              </w:rPr>
            </w:pPr>
            <w:r>
              <w:rPr>
                <w:sz w:val="20"/>
                <w:szCs w:val="20"/>
              </w:rPr>
              <w:t>3</w:t>
            </w:r>
          </w:p>
        </w:tc>
        <w:tc>
          <w:tcPr>
            <w:tcW w:w="1021" w:type="dxa"/>
            <w:tcBorders>
              <w:top w:val="nil"/>
              <w:left w:val="nil"/>
              <w:bottom w:val="single" w:sz="4" w:space="0" w:color="auto"/>
              <w:right w:val="single" w:sz="4" w:space="0" w:color="auto"/>
            </w:tcBorders>
            <w:vAlign w:val="center"/>
          </w:tcPr>
          <w:p w14:paraId="0CB05ACE" w14:textId="77777777" w:rsidR="0042157E" w:rsidRPr="001D5181" w:rsidRDefault="0042157E" w:rsidP="0042157E">
            <w:pPr>
              <w:jc w:val="center"/>
              <w:rPr>
                <w:sz w:val="20"/>
                <w:szCs w:val="20"/>
              </w:rPr>
            </w:pPr>
            <w:r>
              <w:rPr>
                <w:sz w:val="20"/>
                <w:szCs w:val="20"/>
              </w:rPr>
              <w:t>3</w:t>
            </w:r>
          </w:p>
        </w:tc>
        <w:tc>
          <w:tcPr>
            <w:tcW w:w="992" w:type="dxa"/>
            <w:tcBorders>
              <w:top w:val="nil"/>
              <w:left w:val="nil"/>
              <w:bottom w:val="single" w:sz="4" w:space="0" w:color="auto"/>
              <w:right w:val="single" w:sz="4" w:space="0" w:color="auto"/>
            </w:tcBorders>
            <w:vAlign w:val="center"/>
          </w:tcPr>
          <w:p w14:paraId="64983600" w14:textId="77777777" w:rsidR="0042157E" w:rsidRPr="001D5181" w:rsidRDefault="0042157E" w:rsidP="0042157E">
            <w:pPr>
              <w:jc w:val="center"/>
              <w:rPr>
                <w:sz w:val="20"/>
                <w:szCs w:val="20"/>
              </w:rPr>
            </w:pPr>
            <w:r>
              <w:rPr>
                <w:sz w:val="20"/>
                <w:szCs w:val="20"/>
              </w:rPr>
              <w:t>7</w:t>
            </w:r>
          </w:p>
        </w:tc>
        <w:tc>
          <w:tcPr>
            <w:tcW w:w="992" w:type="dxa"/>
            <w:tcBorders>
              <w:top w:val="nil"/>
              <w:left w:val="nil"/>
              <w:bottom w:val="single" w:sz="4" w:space="0" w:color="auto"/>
              <w:right w:val="single" w:sz="4" w:space="0" w:color="auto"/>
            </w:tcBorders>
            <w:vAlign w:val="center"/>
          </w:tcPr>
          <w:p w14:paraId="3E5C7B70" w14:textId="77777777" w:rsidR="0042157E" w:rsidRPr="001D5181" w:rsidRDefault="0042157E" w:rsidP="0042157E">
            <w:pPr>
              <w:jc w:val="center"/>
              <w:rPr>
                <w:sz w:val="20"/>
                <w:szCs w:val="20"/>
              </w:rPr>
            </w:pPr>
          </w:p>
        </w:tc>
        <w:tc>
          <w:tcPr>
            <w:tcW w:w="5103" w:type="dxa"/>
            <w:tcBorders>
              <w:top w:val="nil"/>
              <w:left w:val="single" w:sz="4" w:space="0" w:color="auto"/>
              <w:bottom w:val="single" w:sz="4" w:space="0" w:color="auto"/>
              <w:right w:val="single" w:sz="4" w:space="0" w:color="auto"/>
            </w:tcBorders>
          </w:tcPr>
          <w:p w14:paraId="7CF83E91" w14:textId="77777777" w:rsidR="0042157E" w:rsidRPr="003F659D" w:rsidRDefault="0042157E" w:rsidP="0042157E">
            <w:pPr>
              <w:rPr>
                <w:bCs/>
                <w:sz w:val="20"/>
                <w:szCs w:val="20"/>
              </w:rPr>
            </w:pPr>
            <w:r w:rsidRPr="00CA232D">
              <w:rPr>
                <w:szCs w:val="20"/>
              </w:rPr>
              <w:t>Tarprajoninių ir tarpvalstybinių delegacijų mainų skaičius</w:t>
            </w:r>
          </w:p>
        </w:tc>
        <w:tc>
          <w:tcPr>
            <w:tcW w:w="1418" w:type="dxa"/>
            <w:tcBorders>
              <w:top w:val="nil"/>
              <w:left w:val="single" w:sz="4" w:space="0" w:color="auto"/>
              <w:bottom w:val="single" w:sz="4" w:space="0" w:color="auto"/>
              <w:right w:val="single" w:sz="4" w:space="0" w:color="auto"/>
            </w:tcBorders>
          </w:tcPr>
          <w:p w14:paraId="5A853A6F" w14:textId="77777777" w:rsidR="0042157E" w:rsidRPr="003F659D" w:rsidRDefault="0042157E" w:rsidP="0042157E">
            <w:pPr>
              <w:rPr>
                <w:bCs/>
                <w:sz w:val="20"/>
                <w:szCs w:val="20"/>
              </w:rPr>
            </w:pPr>
            <w:r w:rsidRPr="001E6F3D">
              <w:rPr>
                <w:bCs/>
                <w:szCs w:val="20"/>
              </w:rPr>
              <w:t>P-3-7-1-1</w:t>
            </w:r>
          </w:p>
        </w:tc>
        <w:tc>
          <w:tcPr>
            <w:tcW w:w="850" w:type="dxa"/>
            <w:tcBorders>
              <w:top w:val="single" w:sz="4" w:space="0" w:color="auto"/>
              <w:left w:val="single" w:sz="4" w:space="0" w:color="auto"/>
              <w:bottom w:val="single" w:sz="4" w:space="0" w:color="auto"/>
              <w:right w:val="single" w:sz="4" w:space="0" w:color="auto"/>
            </w:tcBorders>
            <w:vAlign w:val="center"/>
          </w:tcPr>
          <w:p w14:paraId="441F949B" w14:textId="77777777" w:rsidR="0042157E" w:rsidRDefault="003014C8" w:rsidP="0042157E">
            <w:pPr>
              <w:spacing w:line="256" w:lineRule="auto"/>
              <w:jc w:val="center"/>
              <w:rPr>
                <w:rFonts w:eastAsia="Calibri"/>
                <w:sz w:val="18"/>
                <w:szCs w:val="18"/>
                <w:lang w:eastAsia="en-US"/>
              </w:rPr>
            </w:pPr>
            <w:r>
              <w:rPr>
                <w:rFonts w:eastAsia="Calibri"/>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14:paraId="0A94E7D0" w14:textId="77777777" w:rsidR="0042157E" w:rsidRDefault="003014C8" w:rsidP="0042157E">
            <w:pPr>
              <w:spacing w:line="256" w:lineRule="auto"/>
              <w:jc w:val="center"/>
              <w:rPr>
                <w:rFonts w:eastAsia="Calibri"/>
                <w:sz w:val="18"/>
                <w:szCs w:val="18"/>
                <w:lang w:eastAsia="en-US"/>
              </w:rPr>
            </w:pPr>
            <w:r>
              <w:rPr>
                <w:rFonts w:eastAsia="Calibri"/>
                <w:sz w:val="18"/>
                <w:szCs w:val="18"/>
                <w:lang w:eastAsia="en-US"/>
              </w:rPr>
              <w:t>23</w:t>
            </w:r>
          </w:p>
        </w:tc>
        <w:tc>
          <w:tcPr>
            <w:tcW w:w="850" w:type="dxa"/>
            <w:tcBorders>
              <w:top w:val="single" w:sz="4" w:space="0" w:color="auto"/>
              <w:left w:val="single" w:sz="4" w:space="0" w:color="auto"/>
              <w:bottom w:val="single" w:sz="4" w:space="0" w:color="auto"/>
              <w:right w:val="single" w:sz="4" w:space="0" w:color="auto"/>
            </w:tcBorders>
            <w:noWrap/>
            <w:vAlign w:val="center"/>
          </w:tcPr>
          <w:p w14:paraId="0D8DC073" w14:textId="77777777" w:rsidR="0042157E" w:rsidRDefault="003014C8" w:rsidP="0042157E">
            <w:pPr>
              <w:spacing w:line="256" w:lineRule="auto"/>
              <w:jc w:val="center"/>
              <w:rPr>
                <w:rFonts w:eastAsia="Calibri"/>
                <w:sz w:val="18"/>
                <w:szCs w:val="18"/>
                <w:lang w:eastAsia="en-US"/>
              </w:rPr>
            </w:pPr>
            <w:r w:rsidRPr="00B72DB7">
              <w:rPr>
                <w:rFonts w:eastAsia="Calibri"/>
                <w:sz w:val="18"/>
                <w:szCs w:val="18"/>
                <w:lang w:eastAsia="en-US"/>
              </w:rPr>
              <w:t>6</w:t>
            </w:r>
          </w:p>
        </w:tc>
        <w:tc>
          <w:tcPr>
            <w:tcW w:w="851" w:type="dxa"/>
            <w:shd w:val="clear" w:color="auto" w:fill="FFF2CC" w:themeFill="accent4" w:themeFillTint="33"/>
            <w:vAlign w:val="center"/>
          </w:tcPr>
          <w:p w14:paraId="121CC3DD" w14:textId="77777777" w:rsidR="0042157E" w:rsidRPr="003014C8" w:rsidRDefault="0042157E" w:rsidP="0042157E">
            <w:pPr>
              <w:jc w:val="center"/>
              <w:rPr>
                <w:rFonts w:eastAsia="Calibri"/>
                <w:sz w:val="18"/>
                <w:szCs w:val="18"/>
              </w:rPr>
            </w:pPr>
            <w:r w:rsidRPr="003014C8">
              <w:rPr>
                <w:rFonts w:eastAsia="Calibri"/>
                <w:sz w:val="18"/>
                <w:szCs w:val="18"/>
              </w:rPr>
              <w:t>6</w:t>
            </w:r>
          </w:p>
        </w:tc>
        <w:tc>
          <w:tcPr>
            <w:tcW w:w="1276" w:type="dxa"/>
            <w:vAlign w:val="center"/>
          </w:tcPr>
          <w:p w14:paraId="74929EB8" w14:textId="77777777" w:rsidR="0042157E" w:rsidRPr="009E102D" w:rsidRDefault="00996912" w:rsidP="0042157E">
            <w:pPr>
              <w:jc w:val="center"/>
              <w:rPr>
                <w:rFonts w:eastAsia="Calibri"/>
                <w:sz w:val="18"/>
                <w:szCs w:val="18"/>
              </w:rPr>
            </w:pPr>
            <w:r>
              <w:rPr>
                <w:rFonts w:eastAsia="Calibri"/>
                <w:sz w:val="18"/>
                <w:szCs w:val="18"/>
              </w:rPr>
              <w:t>100</w:t>
            </w:r>
          </w:p>
        </w:tc>
      </w:tr>
    </w:tbl>
    <w:p w14:paraId="233497A2" w14:textId="77777777" w:rsidR="00377A50" w:rsidRDefault="00377A50" w:rsidP="00927AEB">
      <w:pPr>
        <w:tabs>
          <w:tab w:val="left" w:pos="1134"/>
        </w:tabs>
        <w:rPr>
          <w:color w:val="000000"/>
        </w:rPr>
      </w:pPr>
    </w:p>
    <w:sectPr w:rsidR="00377A50" w:rsidSect="00776AF0">
      <w:headerReference w:type="even" r:id="rId12"/>
      <w:headerReference w:type="default" r:id="rId13"/>
      <w:headerReference w:type="first" r:id="rId14"/>
      <w:pgSz w:w="16838" w:h="11906" w:orient="landscape" w:code="9"/>
      <w:pgMar w:top="1134"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C800" w14:textId="77777777" w:rsidR="001E6827" w:rsidRDefault="001E6827">
      <w:r>
        <w:separator/>
      </w:r>
    </w:p>
  </w:endnote>
  <w:endnote w:type="continuationSeparator" w:id="0">
    <w:p w14:paraId="28E1CDC7" w14:textId="77777777" w:rsidR="001E6827" w:rsidRDefault="001E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3904" w14:textId="77777777" w:rsidR="001E6827" w:rsidRDefault="001E6827">
      <w:r>
        <w:separator/>
      </w:r>
    </w:p>
  </w:footnote>
  <w:footnote w:type="continuationSeparator" w:id="0">
    <w:p w14:paraId="54DABA26" w14:textId="77777777" w:rsidR="001E6827" w:rsidRDefault="001E6827">
      <w:r>
        <w:continuationSeparator/>
      </w:r>
    </w:p>
  </w:footnote>
  <w:footnote w:id="1">
    <w:p w14:paraId="256E3314" w14:textId="77777777" w:rsidR="00377A50" w:rsidRDefault="00377A50" w:rsidP="00377A50">
      <w:pPr>
        <w:pStyle w:val="Puslapioinaostekstas"/>
        <w:jc w:val="both"/>
      </w:pPr>
      <w:r>
        <w:rPr>
          <w:rStyle w:val="Puslapioinaosnuoroda"/>
        </w:rPr>
        <w:footnoteRef/>
      </w:r>
      <w:r>
        <w:t xml:space="preserve"> Viešojo sektoriaus subjekto strateginiai tikslai turi sutapti su Skuodo rajono savivaldybės veiklos plano strateginiais tikslais. </w:t>
      </w:r>
    </w:p>
  </w:footnote>
  <w:footnote w:id="2">
    <w:p w14:paraId="0FAA5C37" w14:textId="77777777" w:rsidR="00377A50" w:rsidRDefault="00377A50" w:rsidP="00377A50">
      <w:pPr>
        <w:pStyle w:val="Puslapioinaostekstas"/>
      </w:pPr>
      <w:r>
        <w:rPr>
          <w:rStyle w:val="Puslapioinaosnuoroda"/>
        </w:rPr>
        <w:footnoteRef/>
      </w:r>
      <w:r>
        <w:t xml:space="preserve"> Viešojo sektoriaus subjekto Strateginiame veiklos plane numatyti tikslai.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292104"/>
      <w:docPartObj>
        <w:docPartGallery w:val="Page Numbers (Top of Page)"/>
        <w:docPartUnique/>
      </w:docPartObj>
    </w:sdtPr>
    <w:sdtEndPr/>
    <w:sdtContent>
      <w:p w14:paraId="22001BDE" w14:textId="3ACC4EF3" w:rsidR="00A8334F" w:rsidRDefault="00A8334F">
        <w:pPr>
          <w:pStyle w:val="Antrats"/>
          <w:jc w:val="center"/>
        </w:pPr>
        <w:r>
          <w:fldChar w:fldCharType="begin"/>
        </w:r>
        <w:r>
          <w:instrText>PAGE   \* MERGEFORMAT</w:instrText>
        </w:r>
        <w:r>
          <w:fldChar w:fldCharType="separate"/>
        </w:r>
        <w:r>
          <w:t>2</w:t>
        </w:r>
        <w:r>
          <w:fldChar w:fldCharType="end"/>
        </w:r>
      </w:p>
    </w:sdtContent>
  </w:sdt>
  <w:p w14:paraId="6A4BF6BF" w14:textId="77777777" w:rsidR="00CB2D68" w:rsidRDefault="00CB2D68" w:rsidP="00181237">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0042" w14:textId="77777777" w:rsidR="00CB2D68" w:rsidRDefault="00CB2D68" w:rsidP="00E84600">
    <w:pPr>
      <w:pStyle w:val="Antrats"/>
    </w:pPr>
  </w:p>
  <w:p w14:paraId="408CAAA2" w14:textId="77777777" w:rsidR="00CB2D68" w:rsidRDefault="00CB2D68">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EF6"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2B04DA" w14:textId="77777777" w:rsidR="00F358B2" w:rsidRDefault="001E6827">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AD57"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F4CEB">
      <w:rPr>
        <w:rStyle w:val="Puslapionumeris"/>
        <w:noProof/>
      </w:rPr>
      <w:t>3</w:t>
    </w:r>
    <w:r>
      <w:rPr>
        <w:rStyle w:val="Puslapionumeris"/>
      </w:rPr>
      <w:fldChar w:fldCharType="end"/>
    </w:r>
  </w:p>
  <w:p w14:paraId="6BEC98AF" w14:textId="77777777" w:rsidR="00F358B2" w:rsidRDefault="001E6827" w:rsidP="004D194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739773"/>
      <w:docPartObj>
        <w:docPartGallery w:val="Page Numbers (Top of Page)"/>
        <w:docPartUnique/>
      </w:docPartObj>
    </w:sdtPr>
    <w:sdtEndPr/>
    <w:sdtContent>
      <w:p w14:paraId="181DC429" w14:textId="77777777" w:rsidR="00CB2D68" w:rsidRDefault="001E6827" w:rsidP="00E84600">
        <w:pPr>
          <w:pStyle w:val="Antrats"/>
        </w:pPr>
      </w:p>
    </w:sdtContent>
  </w:sdt>
  <w:p w14:paraId="48FB0CF8" w14:textId="77777777" w:rsidR="00CB2D68" w:rsidRDefault="00CB2D68">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296"/>
  <w:hyphenationZone w:val="396"/>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04A1C"/>
    <w:rsid w:val="0001324F"/>
    <w:rsid w:val="000339E0"/>
    <w:rsid w:val="0004391E"/>
    <w:rsid w:val="00071351"/>
    <w:rsid w:val="00075CE6"/>
    <w:rsid w:val="00086FF8"/>
    <w:rsid w:val="000A292D"/>
    <w:rsid w:val="000A5D95"/>
    <w:rsid w:val="000B656E"/>
    <w:rsid w:val="000C0E61"/>
    <w:rsid w:val="000C4262"/>
    <w:rsid w:val="000E3A2B"/>
    <w:rsid w:val="000E7F24"/>
    <w:rsid w:val="000F4510"/>
    <w:rsid w:val="001102A5"/>
    <w:rsid w:val="00131414"/>
    <w:rsid w:val="001340CC"/>
    <w:rsid w:val="00153B71"/>
    <w:rsid w:val="001569F4"/>
    <w:rsid w:val="00163B88"/>
    <w:rsid w:val="00181237"/>
    <w:rsid w:val="00192481"/>
    <w:rsid w:val="00194FB8"/>
    <w:rsid w:val="001A51F2"/>
    <w:rsid w:val="001B03AB"/>
    <w:rsid w:val="001C62A4"/>
    <w:rsid w:val="001D47AC"/>
    <w:rsid w:val="001E40FD"/>
    <w:rsid w:val="001E6827"/>
    <w:rsid w:val="001E6F3D"/>
    <w:rsid w:val="001F1557"/>
    <w:rsid w:val="001F7B46"/>
    <w:rsid w:val="00220076"/>
    <w:rsid w:val="00222D0E"/>
    <w:rsid w:val="00243C2C"/>
    <w:rsid w:val="00246053"/>
    <w:rsid w:val="00275D5C"/>
    <w:rsid w:val="0028651C"/>
    <w:rsid w:val="00291D5A"/>
    <w:rsid w:val="002A2C02"/>
    <w:rsid w:val="002A5045"/>
    <w:rsid w:val="002A7E25"/>
    <w:rsid w:val="002B3A3E"/>
    <w:rsid w:val="002C0E9C"/>
    <w:rsid w:val="002C0FAE"/>
    <w:rsid w:val="002C2840"/>
    <w:rsid w:val="002C6ADF"/>
    <w:rsid w:val="002E0D13"/>
    <w:rsid w:val="003014C8"/>
    <w:rsid w:val="0030169C"/>
    <w:rsid w:val="00301E49"/>
    <w:rsid w:val="00310951"/>
    <w:rsid w:val="00320E69"/>
    <w:rsid w:val="00341B41"/>
    <w:rsid w:val="003561BD"/>
    <w:rsid w:val="00357039"/>
    <w:rsid w:val="00372DC8"/>
    <w:rsid w:val="00377A50"/>
    <w:rsid w:val="0038386D"/>
    <w:rsid w:val="00384540"/>
    <w:rsid w:val="003C1D2C"/>
    <w:rsid w:val="003C2704"/>
    <w:rsid w:val="003C58BD"/>
    <w:rsid w:val="003D00AC"/>
    <w:rsid w:val="003D7CC7"/>
    <w:rsid w:val="003E3928"/>
    <w:rsid w:val="003E3BDA"/>
    <w:rsid w:val="003F3C18"/>
    <w:rsid w:val="00403193"/>
    <w:rsid w:val="00403F89"/>
    <w:rsid w:val="0040491F"/>
    <w:rsid w:val="0042022E"/>
    <w:rsid w:val="0042157E"/>
    <w:rsid w:val="00435B2F"/>
    <w:rsid w:val="00444757"/>
    <w:rsid w:val="00454954"/>
    <w:rsid w:val="00463E79"/>
    <w:rsid w:val="00472948"/>
    <w:rsid w:val="00493E6F"/>
    <w:rsid w:val="00493EC7"/>
    <w:rsid w:val="004A062B"/>
    <w:rsid w:val="004A764E"/>
    <w:rsid w:val="004B5358"/>
    <w:rsid w:val="004D1942"/>
    <w:rsid w:val="004D48AB"/>
    <w:rsid w:val="004D5F77"/>
    <w:rsid w:val="004E7F1D"/>
    <w:rsid w:val="004F1BF1"/>
    <w:rsid w:val="005023FC"/>
    <w:rsid w:val="00516DA5"/>
    <w:rsid w:val="005444AC"/>
    <w:rsid w:val="00573D8D"/>
    <w:rsid w:val="00581270"/>
    <w:rsid w:val="005B1CC7"/>
    <w:rsid w:val="005C016B"/>
    <w:rsid w:val="005C1C7A"/>
    <w:rsid w:val="005E688D"/>
    <w:rsid w:val="005E7894"/>
    <w:rsid w:val="005F4175"/>
    <w:rsid w:val="006038E7"/>
    <w:rsid w:val="0062086B"/>
    <w:rsid w:val="00634AF3"/>
    <w:rsid w:val="00636B97"/>
    <w:rsid w:val="00640236"/>
    <w:rsid w:val="00657BAD"/>
    <w:rsid w:val="00660C90"/>
    <w:rsid w:val="006822CB"/>
    <w:rsid w:val="00690225"/>
    <w:rsid w:val="0069785E"/>
    <w:rsid w:val="006A041B"/>
    <w:rsid w:val="006A4B40"/>
    <w:rsid w:val="006B0734"/>
    <w:rsid w:val="006B2956"/>
    <w:rsid w:val="006B6987"/>
    <w:rsid w:val="006B7C92"/>
    <w:rsid w:val="006C560E"/>
    <w:rsid w:val="006C609E"/>
    <w:rsid w:val="006C719E"/>
    <w:rsid w:val="006D0B1C"/>
    <w:rsid w:val="006D1514"/>
    <w:rsid w:val="006E0E5B"/>
    <w:rsid w:val="006F2E1F"/>
    <w:rsid w:val="00710416"/>
    <w:rsid w:val="007156AB"/>
    <w:rsid w:val="00715775"/>
    <w:rsid w:val="00736632"/>
    <w:rsid w:val="00740462"/>
    <w:rsid w:val="0074062C"/>
    <w:rsid w:val="00742086"/>
    <w:rsid w:val="00747D64"/>
    <w:rsid w:val="00750355"/>
    <w:rsid w:val="00752F6E"/>
    <w:rsid w:val="0075394D"/>
    <w:rsid w:val="007720E0"/>
    <w:rsid w:val="007724E1"/>
    <w:rsid w:val="00776AF0"/>
    <w:rsid w:val="007828C0"/>
    <w:rsid w:val="007B1F83"/>
    <w:rsid w:val="007B71A6"/>
    <w:rsid w:val="007F0762"/>
    <w:rsid w:val="00800C1C"/>
    <w:rsid w:val="00832B38"/>
    <w:rsid w:val="00844D8A"/>
    <w:rsid w:val="00851C98"/>
    <w:rsid w:val="008809F7"/>
    <w:rsid w:val="008827A6"/>
    <w:rsid w:val="00892EDF"/>
    <w:rsid w:val="008A019B"/>
    <w:rsid w:val="008B2E2C"/>
    <w:rsid w:val="008C7383"/>
    <w:rsid w:val="008D05FD"/>
    <w:rsid w:val="008D51C7"/>
    <w:rsid w:val="008E1C26"/>
    <w:rsid w:val="00900693"/>
    <w:rsid w:val="009155F7"/>
    <w:rsid w:val="00927419"/>
    <w:rsid w:val="00927AEB"/>
    <w:rsid w:val="00940D22"/>
    <w:rsid w:val="00950169"/>
    <w:rsid w:val="00966A45"/>
    <w:rsid w:val="009714FC"/>
    <w:rsid w:val="0097180F"/>
    <w:rsid w:val="00976598"/>
    <w:rsid w:val="00996912"/>
    <w:rsid w:val="00996C93"/>
    <w:rsid w:val="009A08EC"/>
    <w:rsid w:val="009B7E6A"/>
    <w:rsid w:val="009D2779"/>
    <w:rsid w:val="009F4A78"/>
    <w:rsid w:val="009F58C9"/>
    <w:rsid w:val="00A0000D"/>
    <w:rsid w:val="00A024C3"/>
    <w:rsid w:val="00A0616C"/>
    <w:rsid w:val="00A51372"/>
    <w:rsid w:val="00A52119"/>
    <w:rsid w:val="00A5685A"/>
    <w:rsid w:val="00A65B11"/>
    <w:rsid w:val="00A66B63"/>
    <w:rsid w:val="00A746A9"/>
    <w:rsid w:val="00A75D7B"/>
    <w:rsid w:val="00A8258E"/>
    <w:rsid w:val="00A8334F"/>
    <w:rsid w:val="00A930F6"/>
    <w:rsid w:val="00A97638"/>
    <w:rsid w:val="00AC73FB"/>
    <w:rsid w:val="00AD6041"/>
    <w:rsid w:val="00AF0E01"/>
    <w:rsid w:val="00AF4CEB"/>
    <w:rsid w:val="00AF7067"/>
    <w:rsid w:val="00B14388"/>
    <w:rsid w:val="00B23CE3"/>
    <w:rsid w:val="00B37C2F"/>
    <w:rsid w:val="00B56BDD"/>
    <w:rsid w:val="00B61E71"/>
    <w:rsid w:val="00B72DB7"/>
    <w:rsid w:val="00B80522"/>
    <w:rsid w:val="00B808AB"/>
    <w:rsid w:val="00B970D5"/>
    <w:rsid w:val="00BA2F2D"/>
    <w:rsid w:val="00BA3ABF"/>
    <w:rsid w:val="00BC7E83"/>
    <w:rsid w:val="00C01BFA"/>
    <w:rsid w:val="00C04E9B"/>
    <w:rsid w:val="00C26339"/>
    <w:rsid w:val="00C432F0"/>
    <w:rsid w:val="00C44824"/>
    <w:rsid w:val="00C53C6F"/>
    <w:rsid w:val="00C65D42"/>
    <w:rsid w:val="00C7054C"/>
    <w:rsid w:val="00C706C8"/>
    <w:rsid w:val="00C81F0F"/>
    <w:rsid w:val="00C82C11"/>
    <w:rsid w:val="00C95BFE"/>
    <w:rsid w:val="00CA217F"/>
    <w:rsid w:val="00CA232D"/>
    <w:rsid w:val="00CA4CB9"/>
    <w:rsid w:val="00CB2D68"/>
    <w:rsid w:val="00CB77D9"/>
    <w:rsid w:val="00CD3921"/>
    <w:rsid w:val="00CF32F5"/>
    <w:rsid w:val="00CF3EF5"/>
    <w:rsid w:val="00CF493B"/>
    <w:rsid w:val="00CF57E7"/>
    <w:rsid w:val="00D153D9"/>
    <w:rsid w:val="00D30BF6"/>
    <w:rsid w:val="00D35E4C"/>
    <w:rsid w:val="00D729F9"/>
    <w:rsid w:val="00D85C58"/>
    <w:rsid w:val="00D9493B"/>
    <w:rsid w:val="00D971D7"/>
    <w:rsid w:val="00DA08FD"/>
    <w:rsid w:val="00DB0377"/>
    <w:rsid w:val="00DD1536"/>
    <w:rsid w:val="00DD300B"/>
    <w:rsid w:val="00DE0964"/>
    <w:rsid w:val="00DE0C31"/>
    <w:rsid w:val="00DF69D7"/>
    <w:rsid w:val="00E03A4D"/>
    <w:rsid w:val="00E06654"/>
    <w:rsid w:val="00E06695"/>
    <w:rsid w:val="00E10A5F"/>
    <w:rsid w:val="00E17010"/>
    <w:rsid w:val="00E225FF"/>
    <w:rsid w:val="00E253DE"/>
    <w:rsid w:val="00E25B5E"/>
    <w:rsid w:val="00E30CB4"/>
    <w:rsid w:val="00E34FEE"/>
    <w:rsid w:val="00E42715"/>
    <w:rsid w:val="00E44954"/>
    <w:rsid w:val="00E54CB4"/>
    <w:rsid w:val="00E713CC"/>
    <w:rsid w:val="00E80FE8"/>
    <w:rsid w:val="00E84600"/>
    <w:rsid w:val="00E875F0"/>
    <w:rsid w:val="00E90C88"/>
    <w:rsid w:val="00EA2E57"/>
    <w:rsid w:val="00EB109B"/>
    <w:rsid w:val="00EB6CA9"/>
    <w:rsid w:val="00EF1D06"/>
    <w:rsid w:val="00EF59AA"/>
    <w:rsid w:val="00EF5BE5"/>
    <w:rsid w:val="00F02A6A"/>
    <w:rsid w:val="00F05CF4"/>
    <w:rsid w:val="00F133C0"/>
    <w:rsid w:val="00F15147"/>
    <w:rsid w:val="00F22E26"/>
    <w:rsid w:val="00F3584A"/>
    <w:rsid w:val="00F61239"/>
    <w:rsid w:val="00F643D9"/>
    <w:rsid w:val="00F729E4"/>
    <w:rsid w:val="00F77788"/>
    <w:rsid w:val="00F84E50"/>
    <w:rsid w:val="00F85492"/>
    <w:rsid w:val="00F96088"/>
    <w:rsid w:val="00FA5AAB"/>
    <w:rsid w:val="00FB04A3"/>
    <w:rsid w:val="00FD11FE"/>
    <w:rsid w:val="00FD2370"/>
    <w:rsid w:val="00FE0346"/>
    <w:rsid w:val="00FE5AE0"/>
    <w:rsid w:val="00FF141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7E604"/>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orat">
    <w:name w:val="footer"/>
    <w:basedOn w:val="prastasis"/>
    <w:link w:val="PoratDiagrama"/>
    <w:uiPriority w:val="99"/>
    <w:unhideWhenUsed/>
    <w:rsid w:val="004D1942"/>
    <w:pPr>
      <w:tabs>
        <w:tab w:val="center" w:pos="4819"/>
        <w:tab w:val="right" w:pos="9638"/>
      </w:tabs>
    </w:pPr>
  </w:style>
  <w:style w:type="character" w:customStyle="1" w:styleId="PoratDiagrama">
    <w:name w:val="Poraštė Diagrama"/>
    <w:basedOn w:val="Numatytasispastraiposriftas"/>
    <w:link w:val="Porat"/>
    <w:uiPriority w:val="99"/>
    <w:rsid w:val="004D1942"/>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unhideWhenUsed/>
    <w:rsid w:val="00377A50"/>
    <w:rPr>
      <w:sz w:val="20"/>
      <w:szCs w:val="20"/>
      <w:lang w:eastAsia="en-US"/>
    </w:rPr>
  </w:style>
  <w:style w:type="character" w:customStyle="1" w:styleId="PuslapioinaostekstasDiagrama">
    <w:name w:val="Puslapio išnašos tekstas Diagrama"/>
    <w:basedOn w:val="Numatytasispastraiposriftas"/>
    <w:link w:val="Puslapioinaostekstas"/>
    <w:uiPriority w:val="99"/>
    <w:rsid w:val="00377A50"/>
    <w:rPr>
      <w:rFonts w:ascii="Times New Roman" w:eastAsia="Times New Roman" w:hAnsi="Times New Roman" w:cs="Times New Roman"/>
      <w:sz w:val="20"/>
      <w:szCs w:val="20"/>
    </w:rPr>
  </w:style>
  <w:style w:type="character" w:styleId="Puslapioinaosnuoroda">
    <w:name w:val="footnote reference"/>
    <w:basedOn w:val="Numatytasispastraiposriftas"/>
    <w:uiPriority w:val="99"/>
    <w:unhideWhenUsed/>
    <w:rsid w:val="00377A50"/>
    <w:rPr>
      <w:vertAlign w:val="superscript"/>
    </w:rPr>
  </w:style>
  <w:style w:type="paragraph" w:styleId="Debesliotekstas">
    <w:name w:val="Balloon Text"/>
    <w:basedOn w:val="prastasis"/>
    <w:link w:val="DebesliotekstasDiagrama"/>
    <w:uiPriority w:val="99"/>
    <w:semiHidden/>
    <w:unhideWhenUsed/>
    <w:rsid w:val="006C560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560E"/>
    <w:rPr>
      <w:rFonts w:ascii="Segoe UI" w:eastAsia="Times New Roman" w:hAnsi="Segoe UI" w:cs="Segoe UI"/>
      <w:sz w:val="18"/>
      <w:szCs w:val="18"/>
      <w:lang w:eastAsia="lt-LT"/>
    </w:rPr>
  </w:style>
  <w:style w:type="paragraph" w:styleId="Pagrindinistekstas">
    <w:name w:val="Body Text"/>
    <w:basedOn w:val="prastasis"/>
    <w:link w:val="PagrindinistekstasDiagrama"/>
    <w:uiPriority w:val="99"/>
    <w:rsid w:val="002A2C02"/>
    <w:pPr>
      <w:spacing w:after="120"/>
    </w:pPr>
    <w:rPr>
      <w:lang w:eastAsia="en-US"/>
    </w:rPr>
  </w:style>
  <w:style w:type="character" w:customStyle="1" w:styleId="PagrindinistekstasDiagrama">
    <w:name w:val="Pagrindinis tekstas Diagrama"/>
    <w:basedOn w:val="Numatytasispastraiposriftas"/>
    <w:link w:val="Pagrindinistekstas"/>
    <w:uiPriority w:val="99"/>
    <w:rsid w:val="002A2C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Lapas1!$B$1</c:f>
              <c:strCache>
                <c:ptCount val="1"/>
                <c:pt idx="0">
                  <c:v>Planas</c:v>
                </c:pt>
              </c:strCache>
            </c:strRef>
          </c:tx>
          <c:marker>
            <c:symbol val="diamond"/>
            <c:size val="5"/>
          </c:marker>
          <c:cat>
            <c:numRef>
              <c:f>Lapas1!$A$2:$A$7</c:f>
              <c:numCache>
                <c:formatCode>General</c:formatCode>
                <c:ptCount val="6"/>
                <c:pt idx="0">
                  <c:v>2018</c:v>
                </c:pt>
                <c:pt idx="1">
                  <c:v>2019</c:v>
                </c:pt>
                <c:pt idx="2">
                  <c:v>2020</c:v>
                </c:pt>
                <c:pt idx="3">
                  <c:v>2021</c:v>
                </c:pt>
                <c:pt idx="4">
                  <c:v>2022</c:v>
                </c:pt>
                <c:pt idx="5">
                  <c:v>2023</c:v>
                </c:pt>
              </c:numCache>
            </c:numRef>
          </c:cat>
          <c:val>
            <c:numRef>
              <c:f>Lapas1!$B$2:$B$7</c:f>
              <c:numCache>
                <c:formatCode>General</c:formatCode>
                <c:ptCount val="6"/>
                <c:pt idx="0">
                  <c:v>1</c:v>
                </c:pt>
                <c:pt idx="1">
                  <c:v>1</c:v>
                </c:pt>
                <c:pt idx="2">
                  <c:v>1</c:v>
                </c:pt>
                <c:pt idx="3">
                  <c:v>1.1000000000000001</c:v>
                </c:pt>
                <c:pt idx="4">
                  <c:v>1.2</c:v>
                </c:pt>
                <c:pt idx="5">
                  <c:v>1.3</c:v>
                </c:pt>
              </c:numCache>
            </c:numRef>
          </c:val>
          <c:smooth val="0"/>
          <c:extLst>
            <c:ext xmlns:c16="http://schemas.microsoft.com/office/drawing/2014/chart" uri="{C3380CC4-5D6E-409C-BE32-E72D297353CC}">
              <c16:uniqueId val="{00000000-813A-452C-BF41-47E0094C337E}"/>
            </c:ext>
          </c:extLst>
        </c:ser>
        <c:ser>
          <c:idx val="1"/>
          <c:order val="1"/>
          <c:tx>
            <c:strRef>
              <c:f>Lapas1!$C$1</c:f>
              <c:strCache>
                <c:ptCount val="1"/>
                <c:pt idx="0">
                  <c:v>Faktas</c:v>
                </c:pt>
              </c:strCache>
            </c:strRef>
          </c:tx>
          <c:marker>
            <c:symbol val="triangle"/>
            <c:size val="5"/>
          </c:marker>
          <c:cat>
            <c:numRef>
              <c:f>Lapas1!$A$2:$A$7</c:f>
              <c:numCache>
                <c:formatCode>General</c:formatCode>
                <c:ptCount val="6"/>
                <c:pt idx="0">
                  <c:v>2018</c:v>
                </c:pt>
                <c:pt idx="1">
                  <c:v>2019</c:v>
                </c:pt>
                <c:pt idx="2">
                  <c:v>2020</c:v>
                </c:pt>
                <c:pt idx="3">
                  <c:v>2021</c:v>
                </c:pt>
                <c:pt idx="4">
                  <c:v>2022</c:v>
                </c:pt>
                <c:pt idx="5">
                  <c:v>2023</c:v>
                </c:pt>
              </c:numCache>
            </c:numRef>
          </c:cat>
          <c:val>
            <c:numRef>
              <c:f>Lapas1!$C$2:$C$7</c:f>
              <c:numCache>
                <c:formatCode>General</c:formatCode>
                <c:ptCount val="6"/>
                <c:pt idx="0">
                  <c:v>51.84</c:v>
                </c:pt>
                <c:pt idx="1">
                  <c:v>55.25</c:v>
                </c:pt>
                <c:pt idx="2">
                  <c:v>62.78</c:v>
                </c:pt>
              </c:numCache>
            </c:numRef>
          </c:val>
          <c:smooth val="0"/>
          <c:extLst>
            <c:ext xmlns:c16="http://schemas.microsoft.com/office/drawing/2014/chart" uri="{C3380CC4-5D6E-409C-BE32-E72D297353CC}">
              <c16:uniqueId val="{00000001-813A-452C-BF41-47E0094C337E}"/>
            </c:ext>
          </c:extLst>
        </c:ser>
        <c:dLbls>
          <c:showLegendKey val="0"/>
          <c:showVal val="0"/>
          <c:showCatName val="0"/>
          <c:showSerName val="0"/>
          <c:showPercent val="0"/>
          <c:showBubbleSize val="0"/>
        </c:dLbls>
        <c:marker val="1"/>
        <c:smooth val="0"/>
        <c:axId val="271895808"/>
        <c:axId val="271896368"/>
      </c:lineChart>
      <c:catAx>
        <c:axId val="271895808"/>
        <c:scaling>
          <c:orientation val="minMax"/>
        </c:scaling>
        <c:delete val="0"/>
        <c:axPos val="b"/>
        <c:numFmt formatCode="General" sourceLinked="1"/>
        <c:majorTickMark val="out"/>
        <c:minorTickMark val="none"/>
        <c:tickLblPos val="nextTo"/>
        <c:crossAx val="271896368"/>
        <c:crosses val="autoZero"/>
        <c:auto val="1"/>
        <c:lblAlgn val="ctr"/>
        <c:lblOffset val="100"/>
        <c:noMultiLvlLbl val="0"/>
      </c:catAx>
      <c:valAx>
        <c:axId val="271896368"/>
        <c:scaling>
          <c:orientation val="minMax"/>
        </c:scaling>
        <c:delete val="0"/>
        <c:axPos val="l"/>
        <c:majorGridlines/>
        <c:numFmt formatCode="General" sourceLinked="1"/>
        <c:majorTickMark val="out"/>
        <c:minorTickMark val="none"/>
        <c:tickLblPos val="nextTo"/>
        <c:crossAx val="271895808"/>
        <c:crosses val="autoZero"/>
        <c:crossBetween val="between"/>
      </c:valAx>
      <c:dTable>
        <c:showHorzBorder val="1"/>
        <c:showVertBorder val="1"/>
        <c:showOutline val="1"/>
        <c:showKeys val="1"/>
        <c:txPr>
          <a:bodyPr/>
          <a:lstStyle/>
          <a:p>
            <a:pPr rtl="0">
              <a:defRPr sz="800"/>
            </a:pPr>
            <a:endParaRPr lang="lt-LT"/>
          </a:p>
        </c:txPr>
      </c:dTable>
    </c:plotArea>
    <c:plotVisOnly val="1"/>
    <c:dispBlanksAs val="gap"/>
    <c:showDLblsOverMax val="0"/>
  </c:chart>
  <c:txPr>
    <a:bodyPr/>
    <a:lstStyle/>
    <a:p>
      <a:pPr>
        <a:defRPr sz="900"/>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Lapas1!$B$1</c:f>
              <c:strCache>
                <c:ptCount val="1"/>
                <c:pt idx="0">
                  <c:v>Planas</c:v>
                </c:pt>
              </c:strCache>
            </c:strRef>
          </c:tx>
          <c:marker>
            <c:symbol val="diamond"/>
            <c:size val="5"/>
          </c:marker>
          <c:cat>
            <c:numRef>
              <c:f>Lapas1!$A$2:$A$7</c:f>
              <c:numCache>
                <c:formatCode>General</c:formatCode>
                <c:ptCount val="6"/>
                <c:pt idx="0">
                  <c:v>2018</c:v>
                </c:pt>
                <c:pt idx="1">
                  <c:v>2019</c:v>
                </c:pt>
                <c:pt idx="2">
                  <c:v>2020</c:v>
                </c:pt>
                <c:pt idx="3">
                  <c:v>2021</c:v>
                </c:pt>
                <c:pt idx="4">
                  <c:v>2022</c:v>
                </c:pt>
                <c:pt idx="5">
                  <c:v>2023</c:v>
                </c:pt>
              </c:numCache>
            </c:numRef>
          </c:cat>
          <c:val>
            <c:numRef>
              <c:f>Lapas1!$B$2:$B$7</c:f>
              <c:numCache>
                <c:formatCode>General</c:formatCode>
                <c:ptCount val="6"/>
                <c:pt idx="0">
                  <c:v>20</c:v>
                </c:pt>
                <c:pt idx="1">
                  <c:v>20</c:v>
                </c:pt>
                <c:pt idx="2">
                  <c:v>20</c:v>
                </c:pt>
                <c:pt idx="3">
                  <c:v>22</c:v>
                </c:pt>
                <c:pt idx="4">
                  <c:v>25</c:v>
                </c:pt>
                <c:pt idx="5">
                  <c:v>25</c:v>
                </c:pt>
              </c:numCache>
            </c:numRef>
          </c:val>
          <c:smooth val="0"/>
          <c:extLst>
            <c:ext xmlns:c16="http://schemas.microsoft.com/office/drawing/2014/chart" uri="{C3380CC4-5D6E-409C-BE32-E72D297353CC}">
              <c16:uniqueId val="{00000000-813A-452C-BF41-47E0094C337E}"/>
            </c:ext>
          </c:extLst>
        </c:ser>
        <c:ser>
          <c:idx val="1"/>
          <c:order val="1"/>
          <c:tx>
            <c:strRef>
              <c:f>Lapas1!$C$1</c:f>
              <c:strCache>
                <c:ptCount val="1"/>
                <c:pt idx="0">
                  <c:v>Faktas</c:v>
                </c:pt>
              </c:strCache>
            </c:strRef>
          </c:tx>
          <c:marker>
            <c:symbol val="triangle"/>
            <c:size val="5"/>
          </c:marker>
          <c:cat>
            <c:numRef>
              <c:f>Lapas1!$A$2:$A$7</c:f>
              <c:numCache>
                <c:formatCode>General</c:formatCode>
                <c:ptCount val="6"/>
                <c:pt idx="0">
                  <c:v>2018</c:v>
                </c:pt>
                <c:pt idx="1">
                  <c:v>2019</c:v>
                </c:pt>
                <c:pt idx="2">
                  <c:v>2020</c:v>
                </c:pt>
                <c:pt idx="3">
                  <c:v>2021</c:v>
                </c:pt>
                <c:pt idx="4">
                  <c:v>2022</c:v>
                </c:pt>
                <c:pt idx="5">
                  <c:v>2023</c:v>
                </c:pt>
              </c:numCache>
            </c:numRef>
          </c:cat>
          <c:val>
            <c:numRef>
              <c:f>Lapas1!$C$2:$C$7</c:f>
              <c:numCache>
                <c:formatCode>General</c:formatCode>
                <c:ptCount val="6"/>
                <c:pt idx="0">
                  <c:v>50</c:v>
                </c:pt>
                <c:pt idx="1">
                  <c:v>55</c:v>
                </c:pt>
                <c:pt idx="2">
                  <c:v>23</c:v>
                </c:pt>
              </c:numCache>
            </c:numRef>
          </c:val>
          <c:smooth val="0"/>
          <c:extLst>
            <c:ext xmlns:c16="http://schemas.microsoft.com/office/drawing/2014/chart" uri="{C3380CC4-5D6E-409C-BE32-E72D297353CC}">
              <c16:uniqueId val="{00000001-813A-452C-BF41-47E0094C337E}"/>
            </c:ext>
          </c:extLst>
        </c:ser>
        <c:dLbls>
          <c:showLegendKey val="0"/>
          <c:showVal val="0"/>
          <c:showCatName val="0"/>
          <c:showSerName val="0"/>
          <c:showPercent val="0"/>
          <c:showBubbleSize val="0"/>
        </c:dLbls>
        <c:marker val="1"/>
        <c:smooth val="0"/>
        <c:axId val="269898256"/>
        <c:axId val="269898816"/>
      </c:lineChart>
      <c:catAx>
        <c:axId val="269898256"/>
        <c:scaling>
          <c:orientation val="minMax"/>
        </c:scaling>
        <c:delete val="0"/>
        <c:axPos val="b"/>
        <c:numFmt formatCode="General" sourceLinked="1"/>
        <c:majorTickMark val="out"/>
        <c:minorTickMark val="none"/>
        <c:tickLblPos val="nextTo"/>
        <c:crossAx val="269898816"/>
        <c:crosses val="autoZero"/>
        <c:auto val="1"/>
        <c:lblAlgn val="ctr"/>
        <c:lblOffset val="100"/>
        <c:noMultiLvlLbl val="0"/>
      </c:catAx>
      <c:valAx>
        <c:axId val="269898816"/>
        <c:scaling>
          <c:orientation val="minMax"/>
        </c:scaling>
        <c:delete val="0"/>
        <c:axPos val="l"/>
        <c:majorGridlines/>
        <c:numFmt formatCode="General" sourceLinked="1"/>
        <c:majorTickMark val="out"/>
        <c:minorTickMark val="none"/>
        <c:tickLblPos val="nextTo"/>
        <c:crossAx val="269898256"/>
        <c:crosses val="autoZero"/>
        <c:crossBetween val="between"/>
      </c:valAx>
      <c:dTable>
        <c:showHorzBorder val="1"/>
        <c:showVertBorder val="1"/>
        <c:showOutline val="1"/>
        <c:showKeys val="1"/>
        <c:txPr>
          <a:bodyPr/>
          <a:lstStyle/>
          <a:p>
            <a:pPr rtl="0">
              <a:defRPr sz="800"/>
            </a:pPr>
            <a:endParaRPr lang="lt-LT"/>
          </a:p>
        </c:txPr>
      </c:dTable>
    </c:plotArea>
    <c:plotVisOnly val="1"/>
    <c:dispBlanksAs val="gap"/>
    <c:showDLblsOverMax val="0"/>
  </c:chart>
  <c:txPr>
    <a:bodyPr/>
    <a:lstStyle/>
    <a:p>
      <a:pPr>
        <a:defRPr sz="900"/>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D21B5-5179-41F0-877A-9F655C6A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13587</Words>
  <Characters>7746</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regina.sopaite@skuodas.lt</cp:lastModifiedBy>
  <cp:revision>3</cp:revision>
  <cp:lastPrinted>2019-08-22T08:24:00Z</cp:lastPrinted>
  <dcterms:created xsi:type="dcterms:W3CDTF">2021-04-14T07:01:00Z</dcterms:created>
  <dcterms:modified xsi:type="dcterms:W3CDTF">2021-04-20T06:23:00Z</dcterms:modified>
</cp:coreProperties>
</file>